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color w:val="b52d51"/>
          <w:sz w:val="24"/>
          <w:szCs w:val="24"/>
        </w:rPr>
      </w:pPr>
      <w:r>
        <w:rPr>
          <w:rFonts w:ascii="Avenir Next LT Pro" w:hAnsi="Avenir Next LT Pro"/>
          <w:b/>
          <w:bCs/>
          <w:color w:val="b52d51"/>
          <w:sz w:val="24"/>
          <w:szCs w:val="24"/>
        </w:rPr>
        <w:t xml:space="preserve">Modèle d’arrêté portant mise en congé de solidarité familiale</w:t>
      </w:r>
      <w:r>
        <w:rPr>
          <w:rFonts w:ascii="Avenir Next LT Pro" w:hAnsi="Avenir Next LT Pro"/>
          <w:b/>
          <w:bCs/>
          <w:color w:val="b52d51"/>
          <w:sz w:val="24"/>
          <w:szCs w:val="24"/>
        </w:rPr>
      </w:r>
      <w:r>
        <w:rPr>
          <w:rFonts w:ascii="Avenir Next LT Pro" w:hAnsi="Avenir Next LT Pro"/>
          <w:b/>
          <w:bCs/>
          <w:color w:val="b52d51"/>
          <w:sz w:val="24"/>
          <w:szCs w:val="24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i/>
          <w:iCs/>
          <w:color w:val="b52d51"/>
          <w:sz w:val="24"/>
          <w:szCs w:val="24"/>
        </w:rPr>
      </w:pPr>
      <w:r>
        <w:rPr>
          <w:rFonts w:ascii="Avenir Next LT Pro" w:hAnsi="Avenir Next LT Pro"/>
          <w:i/>
          <w:iCs/>
          <w:color w:val="b52d51"/>
          <w:sz w:val="24"/>
          <w:szCs w:val="24"/>
        </w:rPr>
        <w:t xml:space="preserve">(Fonctionnaire relevant du régime spécial)</w:t>
      </w:r>
      <w:r>
        <w:rPr>
          <w:rFonts w:ascii="Avenir Next LT Pro" w:hAnsi="Avenir Next LT Pro"/>
          <w:i/>
          <w:iCs/>
          <w:color w:val="b52d51"/>
          <w:sz w:val="24"/>
          <w:szCs w:val="24"/>
        </w:rPr>
      </w:r>
      <w:r>
        <w:rPr>
          <w:rFonts w:ascii="Avenir Next LT Pro" w:hAnsi="Avenir Next LT Pro"/>
          <w:i/>
          <w:iCs/>
          <w:color w:val="b52d51"/>
          <w:sz w:val="24"/>
          <w:szCs w:val="24"/>
        </w:rPr>
      </w:r>
    </w:p>
    <w:p>
      <w:pPr>
        <w:pStyle w:val="703"/>
        <w:pBdr/>
        <w:spacing/>
        <w:ind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</w:r>
      <w:r>
        <w:rPr>
          <w:rFonts w:ascii="Avenir Next LT Pro" w:hAnsi="Avenir Next LT Pro"/>
          <w:sz w:val="22"/>
          <w:szCs w:val="22"/>
        </w:rPr>
      </w:r>
    </w:p>
    <w:p>
      <w:pPr>
        <w:pStyle w:val="703"/>
        <w:pBdr/>
        <w:spacing/>
        <w:ind/>
        <w:rPr>
          <w:rFonts w:ascii="Avenir Next LT Pro" w:hAnsi="Avenir Next LT Pro"/>
          <w:b/>
          <w:bCs/>
          <w:sz w:val="22"/>
          <w:szCs w:val="22"/>
        </w:rPr>
      </w:pPr>
      <w:r>
        <w:rPr>
          <w:rFonts w:ascii="Avenir Next LT Pro" w:hAnsi="Avenir Next LT Pro"/>
          <w:b/>
          <w:bCs/>
          <w:sz w:val="22"/>
          <w:szCs w:val="22"/>
        </w:rPr>
      </w:r>
      <w:r>
        <w:rPr>
          <w:rFonts w:ascii="Avenir Next LT Pro" w:hAnsi="Avenir Next LT Pro"/>
          <w:b/>
          <w:bCs/>
          <w:sz w:val="22"/>
          <w:szCs w:val="22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Le</w:t>
      </w:r>
      <w:r>
        <w:rPr>
          <w:rFonts w:ascii="Avenir Next LT Pro" w:hAnsi="Avenir Next LT Pro"/>
          <w:color w:val="203242"/>
          <w:sz w:val="22"/>
          <w:szCs w:val="22"/>
        </w:rPr>
        <w:t xml:space="preserve">/la </w:t>
      </w:r>
      <w:r>
        <w:rPr>
          <w:rFonts w:ascii="Avenir Next LT Pro" w:hAnsi="Avenir Next LT Pro"/>
          <w:color w:val="203242"/>
          <w:sz w:val="22"/>
          <w:szCs w:val="22"/>
        </w:rPr>
        <w:t xml:space="preserve">Maire </w:t>
      </w:r>
      <w:r>
        <w:rPr>
          <w:rFonts w:ascii="Avenir Next LT Pro" w:hAnsi="Avenir Next LT Pro"/>
          <w:color w:val="203242"/>
          <w:sz w:val="22"/>
          <w:szCs w:val="22"/>
        </w:rPr>
        <w:t xml:space="preserve">(P</w:t>
      </w:r>
      <w:r>
        <w:rPr>
          <w:rFonts w:ascii="Avenir Next LT Pro" w:hAnsi="Avenir Next LT Pro"/>
          <w:color w:val="203242"/>
          <w:sz w:val="22"/>
          <w:szCs w:val="22"/>
        </w:rPr>
        <w:t xml:space="preserve">résident(e)) </w:t>
      </w:r>
      <w:r>
        <w:rPr>
          <w:rFonts w:ascii="Avenir Next LT Pro" w:hAnsi="Avenir Next LT Pro"/>
          <w:color w:val="203242"/>
          <w:sz w:val="22"/>
          <w:szCs w:val="22"/>
        </w:rPr>
        <w:t xml:space="preserve">de .................................................,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Vu le Code de la Sécurité Sociale,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Vu l</w:t>
      </w:r>
      <w:r>
        <w:rPr>
          <w:rFonts w:ascii="Avenir Next LT Pro" w:hAnsi="Avenir Next LT Pro"/>
          <w:color w:val="203242"/>
          <w:sz w:val="22"/>
          <w:szCs w:val="22"/>
        </w:rPr>
        <w:t xml:space="preserve">e Code Général de la Fonction Publique et notamment ses articles L.633-1 à L.633-4</w:t>
      </w:r>
      <w:r>
        <w:rPr>
          <w:rFonts w:ascii="Avenir Next LT Pro" w:hAnsi="Avenir Next LT Pro"/>
          <w:color w:val="203242"/>
          <w:sz w:val="22"/>
          <w:szCs w:val="22"/>
        </w:rPr>
        <w:t xml:space="preserve">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b/>
          <w:color w:val="203242"/>
          <w:sz w:val="22"/>
          <w:szCs w:val="22"/>
        </w:rPr>
      </w:pP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(le cas échéant, 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pour le 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fonctionnaire à temps non complet)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Vu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le décret n°</w:t>
      </w:r>
      <w:r>
        <w:rPr>
          <w:rFonts w:ascii="Avenir Next LT Pro" w:hAnsi="Avenir Next LT Pro"/>
          <w:color w:val="203242"/>
          <w:sz w:val="22"/>
          <w:szCs w:val="22"/>
        </w:rPr>
        <w:t xml:space="preserve">91-298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portant dispositions statutaires applicables aux fonctionnaires territoriaux nommés dans des emplois permanents à temps non complet,</w:t>
      </w:r>
      <w:r>
        <w:rPr>
          <w:rFonts w:ascii="Avenir Next LT Pro" w:hAnsi="Avenir Next LT Pro"/>
          <w:b/>
          <w:color w:val="203242"/>
          <w:sz w:val="22"/>
          <w:szCs w:val="22"/>
        </w:rPr>
      </w:r>
      <w:r>
        <w:rPr>
          <w:rFonts w:ascii="Avenir Next LT Pro" w:hAnsi="Avenir Next LT Pro"/>
          <w:b/>
          <w:color w:val="203242"/>
          <w:sz w:val="22"/>
          <w:szCs w:val="22"/>
        </w:rPr>
      </w:r>
    </w:p>
    <w:p>
      <w:pPr>
        <w:pStyle w:val="703"/>
        <w:pBdr/>
        <w:spacing/>
        <w:ind w:right="-142"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Vu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le décret n° 2013-67 du 18 janvier 2013 relatif au congé pour solidarité familiale et à l’allocation d’accompagnement des personnes en fin de vie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pour les fonctionnaires relevant des articles L. 3 à L. 5 du code général de la fonction publique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,</w:t>
      </w:r>
      <w:r>
        <w:rPr>
          <w:rFonts w:ascii="Avenir Next LT Pro" w:hAnsi="Avenir Next LT Pro"/>
          <w:bCs/>
          <w:color w:val="203242"/>
          <w:sz w:val="22"/>
          <w:szCs w:val="22"/>
        </w:rPr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Considérant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la demande de mise en congé de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solidarité familiale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et d’allocation journalière d’accompagnement d’une personne en fin de vie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présentée par Mme/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.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..........................., pour une durée de ………….. à compter du ……………….,</w:t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Considérant les justificatif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s joints à la demande,</w:t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Considérant l’accord</w:t>
      </w:r>
      <w:r>
        <w:rPr>
          <w:rFonts w:ascii="Avenir Next LT Pro" w:hAnsi="Avenir Next LT Pro"/>
          <w:color w:val="203242"/>
          <w:sz w:val="22"/>
          <w:szCs w:val="22"/>
        </w:rPr>
        <w:t xml:space="preserve"> de la CPAM</w:t>
      </w:r>
      <w:r>
        <w:rPr>
          <w:rStyle w:val="719"/>
          <w:rFonts w:ascii="Avenir Next LT Pro" w:hAnsi="Avenir Next LT Pro"/>
          <w:color w:val="203242"/>
          <w:sz w:val="22"/>
          <w:szCs w:val="22"/>
        </w:rPr>
        <w:footnoteReference w:id="2"/>
      </w:r>
      <w:r>
        <w:rPr>
          <w:rFonts w:ascii="Avenir Next LT Pro" w:hAnsi="Avenir Next LT Pro"/>
          <w:color w:val="203242"/>
          <w:sz w:val="22"/>
          <w:szCs w:val="22"/>
        </w:rPr>
        <w:t xml:space="preserve"> sur la demande d’allocation journalière,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i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iCs/>
          <w:color w:val="203242"/>
          <w:sz w:val="22"/>
          <w:szCs w:val="22"/>
        </w:rPr>
        <w:t xml:space="preserve">ARRÊ</w:t>
      </w:r>
      <w:r>
        <w:rPr>
          <w:rFonts w:ascii="Avenir Next LT Pro" w:hAnsi="Avenir Next LT Pro"/>
          <w:b/>
          <w:bCs/>
          <w:iCs/>
          <w:color w:val="203242"/>
          <w:sz w:val="22"/>
          <w:szCs w:val="22"/>
        </w:rPr>
        <w:t xml:space="preserve">TE</w:t>
      </w:r>
      <w:r>
        <w:rPr>
          <w:rFonts w:ascii="Avenir Next LT Pro" w:hAnsi="Avenir Next LT Pro"/>
          <w:b/>
          <w:bCs/>
          <w:iCs/>
          <w:color w:val="203242"/>
          <w:sz w:val="22"/>
          <w:szCs w:val="22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 w:after="120"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1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color w:val="203242"/>
          <w:sz w:val="22"/>
          <w:szCs w:val="22"/>
        </w:rPr>
        <w:t xml:space="preserve">me/M</w:t>
      </w:r>
      <w:r>
        <w:rPr>
          <w:rFonts w:ascii="Avenir Next LT Pro" w:hAnsi="Avenir Next LT Pro"/>
          <w:color w:val="203242"/>
          <w:sz w:val="22"/>
          <w:szCs w:val="22"/>
        </w:rPr>
        <w:t xml:space="preserve"> ............................................ est placé</w:t>
      </w:r>
      <w:r>
        <w:rPr>
          <w:rFonts w:ascii="Avenir Next LT Pro" w:hAnsi="Avenir Next LT Pro"/>
          <w:color w:val="203242"/>
          <w:sz w:val="22"/>
          <w:szCs w:val="22"/>
        </w:rPr>
        <w:t xml:space="preserve">(e)</w:t>
      </w:r>
      <w:r>
        <w:rPr>
          <w:rFonts w:ascii="Avenir Next LT Pro" w:hAnsi="Avenir Next LT Pro"/>
          <w:color w:val="203242"/>
          <w:sz w:val="22"/>
          <w:szCs w:val="22"/>
        </w:rPr>
        <w:t xml:space="preserve"> en congé </w:t>
      </w:r>
      <w:r>
        <w:rPr>
          <w:rFonts w:ascii="Avenir Next LT Pro" w:hAnsi="Avenir Next LT Pro"/>
          <w:color w:val="203242"/>
          <w:sz w:val="22"/>
          <w:szCs w:val="22"/>
        </w:rPr>
        <w:t xml:space="preserve">de solidarité familiale à</w:t>
      </w:r>
      <w:r>
        <w:rPr>
          <w:rFonts w:ascii="Avenir Next LT Pro" w:hAnsi="Avenir Next LT Pro"/>
          <w:color w:val="203242"/>
          <w:sz w:val="22"/>
          <w:szCs w:val="22"/>
        </w:rPr>
        <w:t xml:space="preserve"> compter </w:t>
      </w:r>
      <w:r>
        <w:rPr>
          <w:rFonts w:ascii="Avenir Next LT Pro" w:hAnsi="Avenir Next LT Pro"/>
          <w:color w:val="203242"/>
          <w:sz w:val="22"/>
          <w:szCs w:val="22"/>
        </w:rPr>
        <w:t xml:space="preserve">du ...................... jusqu’au ………………..</w:t>
      </w:r>
      <w:r>
        <w:rPr>
          <w:rFonts w:ascii="Avenir Next LT Pro" w:hAnsi="Avenir Next LT Pro"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durée maximum 3 mois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).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Ou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color w:val="203242"/>
          <w:sz w:val="22"/>
          <w:szCs w:val="22"/>
        </w:rPr>
        <w:t xml:space="preserve">me/M</w:t>
      </w:r>
      <w:r>
        <w:rPr>
          <w:rFonts w:ascii="Avenir Next LT Pro" w:hAnsi="Avenir Next LT Pro"/>
          <w:color w:val="203242"/>
          <w:sz w:val="22"/>
          <w:szCs w:val="22"/>
        </w:rPr>
        <w:t xml:space="preserve"> ............................................ est placé</w:t>
      </w:r>
      <w:r>
        <w:rPr>
          <w:rFonts w:ascii="Avenir Next LT Pro" w:hAnsi="Avenir Next LT Pro"/>
          <w:color w:val="203242"/>
          <w:sz w:val="22"/>
          <w:szCs w:val="22"/>
        </w:rPr>
        <w:t xml:space="preserve">(e)</w:t>
      </w:r>
      <w:r>
        <w:rPr>
          <w:rFonts w:ascii="Avenir Next LT Pro" w:hAnsi="Avenir Next LT Pro"/>
          <w:color w:val="203242"/>
          <w:sz w:val="22"/>
          <w:szCs w:val="22"/>
        </w:rPr>
        <w:t xml:space="preserve"> en congé de solidarité familiale par période fractionnées de……………</w:t>
      </w:r>
      <w:r>
        <w:rPr>
          <w:rFonts w:ascii="Avenir Next LT Pro" w:hAnsi="Avenir Next LT Pro"/>
          <w:color w:val="203242"/>
          <w:sz w:val="22"/>
          <w:szCs w:val="22"/>
        </w:rPr>
        <w:t xml:space="preserve">………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(au moins 7 jours) </w:t>
      </w:r>
      <w:r>
        <w:rPr>
          <w:rFonts w:ascii="Avenir Next LT Pro" w:hAnsi="Avenir Next LT Pro"/>
          <w:color w:val="203242"/>
          <w:sz w:val="22"/>
          <w:szCs w:val="22"/>
        </w:rPr>
        <w:t xml:space="preserve">jusqu’au…………………..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durée maximale de 6 mois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). 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Ou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color w:val="203242"/>
          <w:sz w:val="22"/>
          <w:szCs w:val="22"/>
        </w:rPr>
        <w:t xml:space="preserve">me/M</w:t>
      </w:r>
      <w:r>
        <w:rPr>
          <w:rFonts w:ascii="Avenir Next LT Pro" w:hAnsi="Avenir Next LT Pro"/>
          <w:color w:val="203242"/>
          <w:sz w:val="22"/>
          <w:szCs w:val="22"/>
        </w:rPr>
        <w:t xml:space="preserve"> ............................................ est placé</w:t>
      </w:r>
      <w:r>
        <w:rPr>
          <w:rFonts w:ascii="Avenir Next LT Pro" w:hAnsi="Avenir Next LT Pro"/>
          <w:color w:val="203242"/>
          <w:sz w:val="22"/>
          <w:szCs w:val="22"/>
        </w:rPr>
        <w:t xml:space="preserve">(e)</w:t>
      </w:r>
      <w:r>
        <w:rPr>
          <w:rFonts w:ascii="Avenir Next LT Pro" w:hAnsi="Avenir Next LT Pro"/>
          <w:color w:val="203242"/>
          <w:sz w:val="22"/>
          <w:szCs w:val="22"/>
        </w:rPr>
        <w:t xml:space="preserve"> en congé de solidarité familiale à compter du....</w:t>
      </w:r>
      <w:r>
        <w:rPr>
          <w:rFonts w:ascii="Avenir Next LT Pro" w:hAnsi="Avenir Next LT Pro"/>
          <w:color w:val="203242"/>
          <w:sz w:val="22"/>
          <w:szCs w:val="22"/>
        </w:rPr>
        <w:t xml:space="preserve">.................. jusqu’au ……………….. 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durée maximum 3 mois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), </w:t>
      </w:r>
      <w:r>
        <w:rPr>
          <w:rFonts w:ascii="Avenir Next LT Pro" w:hAnsi="Avenir Next LT Pro"/>
          <w:color w:val="203242"/>
          <w:sz w:val="22"/>
          <w:szCs w:val="22"/>
        </w:rPr>
        <w:t xml:space="preserve">sous la forme d’un service à temps partiel d’une quotité de 50%, 60%, 70% ou 80%.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</w:r>
      <w:r>
        <w:rPr>
          <w:rFonts w:ascii="Avenir Next LT Pro" w:hAnsi="Avenir Next LT Pro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</w:r>
      <w:r>
        <w:rPr>
          <w:rFonts w:ascii="Avenir Next LT Pro" w:hAnsi="Avenir Next LT Pro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2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Pendant cette période,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il /elle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n'est pas rémunéré(e).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O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u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 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color w:val="0070c0"/>
          <w:sz w:val="22"/>
          <w:szCs w:val="22"/>
        </w:rPr>
        <w:t xml:space="preserve">(Lorsque le congé est transformé en période d’activité à temps partiel)</w:t>
      </w:r>
      <w:r>
        <w:rPr>
          <w:rFonts w:ascii="Avenir Next LT Pro" w:hAnsi="Avenir Next LT Pro"/>
          <w:color w:val="203242"/>
          <w:sz w:val="22"/>
          <w:szCs w:val="22"/>
        </w:rPr>
        <w:t xml:space="preserve"> Pendant cette période, l’agent percevra ………….% </w:t>
      </w:r>
      <w:r>
        <w:rPr>
          <w:rFonts w:ascii="Avenir Next LT Pro" w:hAnsi="Avenir Next LT Pro"/>
          <w:i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color w:val="0070c0"/>
          <w:sz w:val="22"/>
          <w:szCs w:val="22"/>
        </w:rPr>
        <w:t xml:space="preserve">50, 60, 70 % ou 6/7ème dans le cas de services représentant 80 % du temps plein</w:t>
      </w:r>
      <w:r>
        <w:rPr>
          <w:rFonts w:ascii="Avenir Next LT Pro" w:hAnsi="Avenir Next LT Pro"/>
          <w:i/>
          <w:color w:val="203242"/>
          <w:sz w:val="22"/>
          <w:szCs w:val="22"/>
        </w:rPr>
        <w:t xml:space="preserve">)</w:t>
      </w:r>
      <w:r>
        <w:rPr>
          <w:rFonts w:ascii="Avenir Next LT Pro" w:hAnsi="Avenir Next LT Pro"/>
          <w:color w:val="203242"/>
          <w:sz w:val="22"/>
          <w:szCs w:val="22"/>
        </w:rPr>
        <w:t xml:space="preserve"> du traitement et des primes et indemnités. Le supplément familial de traitement ne peut être i</w:t>
      </w:r>
      <w:r>
        <w:rPr>
          <w:rFonts w:ascii="Avenir Next LT Pro" w:hAnsi="Avenir Next LT Pro"/>
          <w:color w:val="203242"/>
          <w:sz w:val="22"/>
          <w:szCs w:val="22"/>
        </w:rPr>
        <w:t xml:space="preserve">nférieur au montant minimum versé aux fonctionnaires travaillant à temps plein ayant le même nombre d’enfants à charge.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b/>
          <w:color w:val="203242"/>
          <w:sz w:val="22"/>
          <w:szCs w:val="22"/>
        </w:rPr>
      </w:pPr>
      <w:r>
        <w:rPr>
          <w:rFonts w:ascii="Avenir Next LT Pro" w:hAnsi="Avenir Next LT Pro"/>
          <w:b/>
          <w:color w:val="203242"/>
          <w:sz w:val="22"/>
          <w:szCs w:val="22"/>
        </w:rPr>
      </w:r>
      <w:r>
        <w:rPr>
          <w:rFonts w:ascii="Avenir Next LT Pro" w:hAnsi="Avenir Next LT Pro"/>
          <w:b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b/>
          <w:color w:val="203242"/>
          <w:sz w:val="22"/>
          <w:szCs w:val="22"/>
        </w:rPr>
      </w:pPr>
      <w:r>
        <w:rPr>
          <w:rFonts w:ascii="Avenir Next LT Pro" w:hAnsi="Avenir Next LT Pro"/>
          <w:b/>
          <w:color w:val="203242"/>
          <w:sz w:val="22"/>
          <w:szCs w:val="22"/>
        </w:rPr>
        <w:t xml:space="preserve">ET</w:t>
      </w:r>
      <w:r>
        <w:rPr>
          <w:rFonts w:ascii="Avenir Next LT Pro" w:hAnsi="Avenir Next LT Pro"/>
          <w:b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i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Elle</w:t>
      </w:r>
      <w:r>
        <w:rPr>
          <w:rFonts w:ascii="Avenir Next LT Pro" w:hAnsi="Avenir Next LT Pro"/>
          <w:color w:val="203242"/>
          <w:sz w:val="22"/>
          <w:szCs w:val="22"/>
        </w:rPr>
        <w:t xml:space="preserve">/</w:t>
      </w:r>
      <w:r>
        <w:rPr>
          <w:rFonts w:ascii="Avenir Next LT Pro" w:hAnsi="Avenir Next LT Pro"/>
          <w:color w:val="203242"/>
          <w:sz w:val="22"/>
          <w:szCs w:val="22"/>
        </w:rPr>
        <w:t xml:space="preserve">Il</w:t>
      </w:r>
      <w:r>
        <w:rPr>
          <w:rFonts w:ascii="Avenir Next LT Pro" w:hAnsi="Avenir Next LT Pro"/>
          <w:color w:val="203242"/>
          <w:sz w:val="22"/>
          <w:szCs w:val="22"/>
        </w:rPr>
        <w:t xml:space="preserve"> percevra </w:t>
      </w:r>
      <w:r>
        <w:rPr>
          <w:rFonts w:ascii="Avenir Next LT Pro" w:hAnsi="Avenir Next LT Pro"/>
          <w:color w:val="203242"/>
          <w:sz w:val="22"/>
          <w:szCs w:val="22"/>
        </w:rPr>
        <w:t xml:space="preserve">une al</w:t>
      </w:r>
      <w:r>
        <w:rPr>
          <w:rFonts w:ascii="Avenir Next LT Pro" w:hAnsi="Avenir Next LT Pro"/>
          <w:color w:val="203242"/>
          <w:sz w:val="22"/>
          <w:szCs w:val="22"/>
        </w:rPr>
        <w:t xml:space="preserve">location journalière d'accompagnement d'une personne en fin de vie</w:t>
      </w:r>
      <w:r>
        <w:rPr>
          <w:rFonts w:ascii="Avenir Next LT Pro" w:hAnsi="Avenir Next LT Pro"/>
          <w:color w:val="203242"/>
          <w:sz w:val="22"/>
          <w:szCs w:val="22"/>
        </w:rPr>
        <w:t xml:space="preserve">, qui lui sera versée par la collectivité/l’établissement public, conformément au décret n°2013-67 du 18 janvier 2013 et </w:t>
      </w:r>
      <w:r>
        <w:rPr>
          <w:rFonts w:ascii="Avenir Next LT Pro" w:hAnsi="Avenir Next LT Pro"/>
          <w:color w:val="203242"/>
          <w:sz w:val="22"/>
          <w:szCs w:val="22"/>
        </w:rPr>
        <w:t xml:space="preserve">a</w:t>
      </w:r>
      <w:r>
        <w:rPr>
          <w:rFonts w:ascii="Avenir Next LT Pro" w:hAnsi="Avenir Next LT Pro"/>
          <w:color w:val="203242"/>
          <w:sz w:val="22"/>
          <w:szCs w:val="22"/>
        </w:rPr>
        <w:t xml:space="preserve">u Code de la sécurité sociale précités.</w:t>
      </w:r>
      <w:r>
        <w:rPr>
          <w:rFonts w:ascii="Avenir Next LT Pro" w:hAnsi="Avenir Next LT Pro"/>
          <w:i/>
          <w:color w:val="203242"/>
          <w:sz w:val="22"/>
          <w:szCs w:val="22"/>
        </w:rPr>
      </w:r>
      <w:r>
        <w:rPr>
          <w:rFonts w:ascii="Avenir Next LT Pro" w:hAnsi="Avenir Next LT Pro"/>
          <w:i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3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La durée de ce congé est assimilée à une période de service effectif pour l’avancement. 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Cette période pourra être prise en compte pour la constitution et la liquidation de la pension de retraite</w:t>
      </w:r>
      <w:r>
        <w:rPr>
          <w:rFonts w:ascii="Avenir Next LT Pro" w:hAnsi="Avenir Next LT Pro"/>
          <w:color w:val="203242"/>
          <w:sz w:val="22"/>
          <w:szCs w:val="22"/>
        </w:rPr>
        <w:t xml:space="preserve">,</w:t>
      </w:r>
      <w:r>
        <w:rPr>
          <w:rFonts w:ascii="Avenir Next LT Pro" w:hAnsi="Avenir Next LT Pro"/>
          <w:color w:val="203242"/>
          <w:sz w:val="22"/>
          <w:szCs w:val="22"/>
        </w:rPr>
        <w:t xml:space="preserve"> sous réserve du versement des cotisations correspondantes après réintégration.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4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En cas de renouvellement, l</w:t>
      </w:r>
      <w:r>
        <w:rPr>
          <w:rFonts w:ascii="Avenir Next LT Pro" w:hAnsi="Avenir Next LT Pro"/>
          <w:color w:val="203242"/>
          <w:sz w:val="22"/>
          <w:szCs w:val="22"/>
        </w:rPr>
        <w:t xml:space="preserve">a demande devra être présentée au moins 15 jours avant l’expiration de la période</w:t>
      </w:r>
      <w:r>
        <w:rPr>
          <w:rFonts w:ascii="Avenir Next LT Pro" w:hAnsi="Avenir Next LT Pro"/>
          <w:color w:val="203242"/>
          <w:sz w:val="22"/>
          <w:szCs w:val="22"/>
        </w:rPr>
        <w:t xml:space="preserve"> de congé </w:t>
      </w:r>
      <w:r>
        <w:rPr>
          <w:rFonts w:ascii="Avenir Next LT Pro" w:hAnsi="Avenir Next LT Pro"/>
          <w:color w:val="203242"/>
          <w:sz w:val="22"/>
          <w:szCs w:val="22"/>
        </w:rPr>
        <w:t xml:space="preserve">de solidarité familiale</w:t>
      </w:r>
      <w:r>
        <w:rPr>
          <w:rStyle w:val="719"/>
          <w:rFonts w:ascii="Avenir Next LT Pro" w:hAnsi="Avenir Next LT Pro"/>
          <w:color w:val="203242"/>
          <w:sz w:val="22"/>
          <w:szCs w:val="22"/>
        </w:rPr>
        <w:footnoteReference w:id="3"/>
      </w:r>
      <w:r>
        <w:rPr>
          <w:rFonts w:ascii="Avenir Next LT Pro" w:hAnsi="Avenir Next LT Pro"/>
          <w:color w:val="203242"/>
          <w:sz w:val="22"/>
          <w:szCs w:val="22"/>
        </w:rPr>
        <w:t xml:space="preserve">.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rPr>
          <w:rFonts w:ascii="Avenir Next LT Pro" w:hAnsi="Avenir Next LT Pro"/>
          <w:b/>
          <w:b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5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663300"/>
          <w:sz w:val="22"/>
          <w:szCs w:val="22"/>
        </w:rPr>
      </w:pPr>
      <w:r>
        <w:rPr>
          <w:rFonts w:ascii="Avenir Next LT Pro" w:hAnsi="Avenir Next LT Pro"/>
          <w:color w:val="663300"/>
          <w:sz w:val="22"/>
          <w:szCs w:val="22"/>
        </w:rPr>
        <w:t xml:space="preserve">Mme/M…………………reste affecté(e) dans son emploi pend</w:t>
      </w:r>
      <w:r>
        <w:rPr>
          <w:rFonts w:ascii="Avenir Next LT Pro" w:hAnsi="Avenir Next LT Pro"/>
          <w:color w:val="663300"/>
          <w:sz w:val="22"/>
          <w:szCs w:val="22"/>
        </w:rPr>
        <w:t xml:space="preserve">ant la période de congé de solidarité familiale.</w:t>
      </w:r>
      <w:r>
        <w:rPr>
          <w:rFonts w:ascii="Avenir Next LT Pro" w:hAnsi="Avenir Next LT Pro"/>
          <w:color w:val="66330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663300"/>
          <w:sz w:val="22"/>
          <w:szCs w:val="22"/>
        </w:rPr>
      </w:pPr>
      <w:r>
        <w:rPr>
          <w:rFonts w:ascii="Avenir Next LT Pro" w:hAnsi="Avenir Next LT Pro"/>
          <w:color w:val="663300"/>
          <w:sz w:val="22"/>
          <w:szCs w:val="22"/>
        </w:rPr>
        <w:t xml:space="preserve">En cas de suppression de son emploi</w:t>
      </w:r>
      <w:r>
        <w:rPr>
          <w:rFonts w:ascii="Avenir Next LT Pro" w:hAnsi="Avenir Next LT Pro"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(ou de transformation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 de son emploi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, pour le fonctionnaire est à temp non complet)</w:t>
      </w:r>
      <w:r>
        <w:rPr>
          <w:rFonts w:ascii="Avenir Next LT Pro" w:hAnsi="Avenir Next LT Pro"/>
          <w:color w:val="203242"/>
          <w:sz w:val="22"/>
          <w:szCs w:val="22"/>
        </w:rPr>
        <w:t xml:space="preserve">, </w:t>
      </w:r>
      <w:r>
        <w:rPr>
          <w:rFonts w:ascii="Avenir Next LT Pro" w:hAnsi="Avenir Next LT Pro"/>
          <w:color w:val="663300"/>
          <w:sz w:val="22"/>
          <w:szCs w:val="22"/>
        </w:rPr>
        <w:t xml:space="preserve">Mme/M……………..est affecté(e) dans l'un des emplois correspondant à son grade les plus proches de son ancien lieu de travail. </w:t>
      </w:r>
      <w:r>
        <w:rPr>
          <w:rFonts w:ascii="Avenir Next LT Pro" w:hAnsi="Avenir Next LT Pro"/>
          <w:color w:val="66330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663300"/>
          <w:sz w:val="22"/>
          <w:szCs w:val="22"/>
        </w:rPr>
      </w:pPr>
      <w:r>
        <w:rPr>
          <w:rFonts w:ascii="Avenir Next LT Pro" w:hAnsi="Avenir Next LT Pro"/>
          <w:color w:val="663300"/>
          <w:sz w:val="22"/>
          <w:szCs w:val="22"/>
        </w:rPr>
        <w:t xml:space="preserve">Elle/Il peut demander à être affecté(e) dans un emploi plus proche de son domicile dans les conditions prévues par la section 5 du chapitre II du titre Ier du livre V du Code Général de la Fonction Publique.</w:t>
      </w:r>
      <w:r>
        <w:rPr>
          <w:rFonts w:ascii="Avenir Next LT Pro" w:hAnsi="Avenir Next LT Pro"/>
          <w:color w:val="66330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/>
      <w:bookmarkStart w:id="0" w:name="_Hlk67063139"/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6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Le congé prend fin soit à l'expiration de la période autorisée, soit dans les 3 jours qui suivent le décès de la personne accompagnée, soit de manière anticipée sur demande de l'agent.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/>
      <w:bookmarkEnd w:id="0"/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7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A l'expiration du congé </w:t>
      </w:r>
      <w:r>
        <w:rPr>
          <w:rFonts w:ascii="Avenir Next LT Pro" w:hAnsi="Avenir Next LT Pro"/>
          <w:color w:val="203242"/>
          <w:sz w:val="22"/>
          <w:szCs w:val="22"/>
        </w:rPr>
        <w:t xml:space="preserve">de solidarité familiale</w:t>
      </w:r>
      <w:r>
        <w:rPr>
          <w:rFonts w:ascii="Avenir Next LT Pro" w:hAnsi="Avenir Next LT Pro"/>
          <w:color w:val="203242"/>
          <w:sz w:val="22"/>
          <w:szCs w:val="22"/>
        </w:rPr>
        <w:t xml:space="preserve">, l'intéressé(e) sera réintégré(e) </w:t>
      </w:r>
      <w:r>
        <w:rPr>
          <w:rFonts w:ascii="Avenir Next LT Pro" w:hAnsi="Avenir Next LT Pro"/>
          <w:color w:val="203242"/>
          <w:sz w:val="22"/>
          <w:szCs w:val="22"/>
        </w:rPr>
        <w:t xml:space="preserve">automatiquement et </w:t>
      </w:r>
      <w:r>
        <w:rPr>
          <w:rFonts w:ascii="Avenir Next LT Pro" w:hAnsi="Avenir Next LT Pro"/>
          <w:color w:val="203242"/>
          <w:sz w:val="22"/>
          <w:szCs w:val="22"/>
        </w:rPr>
        <w:t xml:space="preserve">de plein droit dans sa collectivité d'origine. 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134"/>
        </w:tabs>
        <w:spacing/>
        <w:ind/>
        <w:jc w:val="both"/>
        <w:rPr>
          <w:rFonts w:ascii="Avenir Next LT Pro" w:hAnsi="Avenir Next LT Pro"/>
          <w:b/>
          <w:i/>
          <w:color w:val="203242"/>
          <w:sz w:val="22"/>
          <w:szCs w:val="22"/>
          <w:u w:val="single"/>
        </w:rPr>
      </w:pPr>
      <w:r>
        <w:rPr>
          <w:rFonts w:ascii="Avenir Next LT Pro" w:hAnsi="Avenir Next LT Pro"/>
          <w:b/>
          <w:i/>
          <w:color w:val="203242"/>
          <w:sz w:val="22"/>
          <w:szCs w:val="22"/>
          <w:u w:val="single"/>
        </w:rPr>
      </w:r>
      <w:r>
        <w:rPr>
          <w:rFonts w:ascii="Avenir Next LT Pro" w:hAnsi="Avenir Next LT Pro"/>
          <w:b/>
          <w:i/>
          <w:color w:val="203242"/>
          <w:sz w:val="22"/>
          <w:szCs w:val="22"/>
          <w:u w:val="single"/>
        </w:rPr>
      </w:r>
    </w:p>
    <w:p>
      <w:pPr>
        <w:pStyle w:val="703"/>
        <w:pBdr/>
        <w:tabs>
          <w:tab w:val="left" w:leader="none" w:pos="1134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8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: 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134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Ampliation de l’arrêté sera transmise :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567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ab/>
        <w:t xml:space="preserve">- au Comptable de la collectivité,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567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ab/>
        <w:t xml:space="preserve">- à Monsieur le Président du Centre de Gestion,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567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ab/>
        <w:t xml:space="preserve">- à l’intéressé(e) 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/>
      <w:bookmarkStart w:id="1" w:name="_Hlk67063156"/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Le </w:t>
      </w:r>
      <w:bookmarkStart w:id="2" w:name="agent_coltype1"/>
      <w:r>
        <w:rPr>
          <w:rFonts w:ascii="Avenir Next LT Pro" w:hAnsi="Avenir Next LT Pro"/>
          <w:color w:val="203242"/>
          <w:sz w:val="18"/>
          <w:szCs w:val="18"/>
        </w:rPr>
        <w:t xml:space="preserve">Maire (</w:t>
      </w:r>
      <w:r>
        <w:rPr>
          <w:rFonts w:ascii="Avenir Next LT Pro" w:hAnsi="Avenir Next LT Pro"/>
          <w:i/>
          <w:color w:val="203242"/>
          <w:sz w:val="18"/>
          <w:szCs w:val="18"/>
        </w:rPr>
        <w:t xml:space="preserve">ou le Président</w:t>
      </w:r>
      <w:r>
        <w:rPr>
          <w:rFonts w:ascii="Avenir Next LT Pro" w:hAnsi="Avenir Next LT Pro"/>
          <w:color w:val="203242"/>
          <w:sz w:val="18"/>
          <w:szCs w:val="18"/>
        </w:rPr>
        <w:t xml:space="preserve">)</w:t>
      </w:r>
      <w:bookmarkEnd w:id="1"/>
      <w:r>
        <w:rPr>
          <w:rFonts w:ascii="Avenir Next LT Pro" w:hAnsi="Avenir Next LT Pro"/>
          <w:color w:val="203242"/>
          <w:sz w:val="18"/>
          <w:szCs w:val="18"/>
        </w:rPr>
        <w:t xml:space="preserve">,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tabs>
          <w:tab w:val="left" w:leader="none" w:pos="1418"/>
          <w:tab w:val="left" w:leader="none" w:pos="5954"/>
        </w:tabs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- certifie sous sa responsabilité le caractère </w:t>
        <w:tab/>
        <w:tab/>
      </w:r>
      <w:r>
        <w:rPr>
          <w:rFonts w:ascii="Avenir Next LT Pro" w:hAnsi="Avenir Next LT Pro"/>
          <w:color w:val="203242"/>
        </w:rPr>
        <w:t xml:space="preserve">Fait à  </w:t>
      </w:r>
      <w:bookmarkStart w:id="3" w:name="agent_collocalite"/>
      <w:r>
        <w:rPr>
          <w:rFonts w:ascii="Avenir Next LT Pro" w:hAnsi="Avenir Next LT Pro"/>
          <w:color w:val="203242"/>
        </w:rPr>
        <w:t xml:space="preserve">.................</w:t>
      </w:r>
      <w:bookmarkEnd w:id="2"/>
      <w:r>
        <w:rPr>
          <w:rFonts w:ascii="Avenir Next LT Pro" w:hAnsi="Avenir Next LT Pro"/>
          <w:color w:val="203242"/>
        </w:rPr>
        <w:t xml:space="preserve">, le ………..</w:t>
      </w:r>
      <w:r>
        <w:rPr>
          <w:rFonts w:ascii="Avenir Next LT Pro" w:hAnsi="Avenir Next LT Pro"/>
          <w:color w:val="20324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exécutoire de cet acte,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tabs>
          <w:tab w:val="left" w:leader="none" w:pos="1418"/>
        </w:tabs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- informe que le présent arrêté peut faire l’objet </w:t>
        <w:tab/>
        <w:tab/>
        <w:tab/>
        <w:tab/>
      </w:r>
      <w:r>
        <w:rPr>
          <w:rFonts w:ascii="Avenir Next LT Pro" w:hAnsi="Avenir Next LT Pro"/>
          <w:color w:val="203242"/>
        </w:rPr>
        <w:t xml:space="preserve">Le </w:t>
      </w:r>
      <w:r>
        <w:rPr>
          <w:rFonts w:ascii="Avenir Next LT Pro" w:hAnsi="Avenir Next LT Pro"/>
          <w:color w:val="203242"/>
        </w:rPr>
        <w:t xml:space="preserve">Maire (ou le Président)</w:t>
      </w:r>
      <w:bookmarkEnd w:id="3"/>
      <w:r>
        <w:rPr>
          <w:rFonts w:ascii="Avenir Next LT Pro" w:hAnsi="Avenir Next LT Pro"/>
          <w:color w:val="203242"/>
        </w:rPr>
        <w:t xml:space="preserve">,</w:t>
      </w:r>
      <w:r>
        <w:rPr>
          <w:rFonts w:ascii="Avenir Next LT Pro" w:hAnsi="Avenir Next LT Pro"/>
          <w:color w:val="20324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d’un recours pour excès de pouvoir devant le 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 w:right="6010"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Tribunal </w:t>
      </w:r>
      <w:r>
        <w:rPr>
          <w:rFonts w:ascii="Avenir Next LT Pro" w:hAnsi="Avenir Next LT Pro"/>
          <w:color w:val="203242"/>
          <w:sz w:val="18"/>
          <w:szCs w:val="18"/>
        </w:rPr>
        <w:t xml:space="preserve">administratif de…………….</w:t>
      </w:r>
      <w:r>
        <w:rPr>
          <w:rFonts w:ascii="Avenir Next LT Pro" w:hAnsi="Avenir Next LT Pro"/>
          <w:color w:val="203242"/>
          <w:sz w:val="18"/>
          <w:szCs w:val="18"/>
        </w:rPr>
        <w:t xml:space="preserve">dans un délai de deux mois à compter 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 w:right="6293"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de la présente notification</w:t>
      </w:r>
      <w:r>
        <w:rPr>
          <w:rFonts w:ascii="Avenir Next LT Pro" w:hAnsi="Avenir Next LT Pro"/>
          <w:color w:val="203242"/>
          <w:sz w:val="18"/>
          <w:szCs w:val="18"/>
        </w:rPr>
        <w:t xml:space="preserve"> ou par l'application Télérecours citoyens accessible à partir du site www.telerecours.fr</w:t>
      </w:r>
      <w:r>
        <w:rPr>
          <w:rFonts w:ascii="Avenir Next LT Pro" w:hAnsi="Avenir Next LT Pro"/>
          <w:color w:val="203242"/>
          <w:sz w:val="18"/>
          <w:szCs w:val="18"/>
        </w:rPr>
        <w:t xml:space="preserve">.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Notification faite le …………………………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  <w:u w:val="single"/>
        </w:rPr>
      </w:pPr>
      <w:r>
        <w:rPr>
          <w:rFonts w:ascii="Avenir Next LT Pro" w:hAnsi="Avenir Next LT Pro"/>
          <w:color w:val="203242"/>
          <w:sz w:val="18"/>
          <w:szCs w:val="18"/>
          <w:u w:val="single"/>
        </w:rPr>
      </w:r>
      <w:r>
        <w:rPr>
          <w:rFonts w:ascii="Avenir Next LT Pro" w:hAnsi="Avenir Next LT Pro"/>
          <w:color w:val="203242"/>
          <w:sz w:val="18"/>
          <w:szCs w:val="18"/>
          <w:u w:val="single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  <w:u w:val="single"/>
        </w:rPr>
      </w:pPr>
      <w:r>
        <w:rPr>
          <w:rFonts w:ascii="Avenir Next LT Pro" w:hAnsi="Avenir Next LT Pro"/>
          <w:color w:val="203242"/>
          <w:sz w:val="18"/>
          <w:szCs w:val="18"/>
          <w:u w:val="single"/>
        </w:rPr>
      </w:r>
      <w:r>
        <w:rPr>
          <w:rFonts w:ascii="Avenir Next LT Pro" w:hAnsi="Avenir Next LT Pro"/>
          <w:color w:val="203242"/>
          <w:sz w:val="18"/>
          <w:szCs w:val="18"/>
          <w:u w:val="single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  <w:u w:val="single"/>
        </w:rPr>
        <w:t xml:space="preserve">Signature de l’age</w:t>
      </w:r>
      <w:r>
        <w:rPr>
          <w:rFonts w:ascii="Avenir Next LT Pro" w:hAnsi="Avenir Next LT Pro"/>
          <w:color w:val="203242"/>
          <w:sz w:val="18"/>
          <w:szCs w:val="18"/>
          <w:u w:val="single"/>
        </w:rPr>
        <w:t xml:space="preserve">nt</w:t>
      </w:r>
      <w:r>
        <w:rPr>
          <w:rFonts w:ascii="Avenir Next LT Pro" w:hAnsi="Avenir Next LT Pro"/>
          <w:color w:val="203242"/>
          <w:sz w:val="18"/>
          <w:szCs w:val="18"/>
        </w:rPr>
        <w:t xml:space="preserve"> :</w:t>
      </w:r>
      <w:r>
        <w:rPr>
          <w:rFonts w:ascii="Avenir Next LT Pro" w:hAnsi="Avenir Next LT Pro"/>
          <w:color w:val="203242"/>
          <w:sz w:val="18"/>
          <w:szCs w:val="18"/>
        </w:rPr>
      </w:r>
    </w:p>
    <w:sectPr>
      <w:footerReference w:type="default" r:id="rId9"/>
      <w:footnotePr/>
      <w:endnotePr/>
      <w:type w:val="nextPage"/>
      <w:pgSz w:h="16840" w:orient="portrait" w:w="11907"/>
      <w:pgMar w:top="907" w:right="964" w:bottom="1077" w:left="964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venir Next LT Pro">
    <w:panose1 w:val="020B0603030804020204"/>
  </w:font>
  <w:font w:name="Helv">
    <w:panose1 w:val="020B0603030804020204"/>
  </w:font>
  <w:font w:name="Tms Rmn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pBdr/>
      <w:spacing/>
      <w:ind/>
      <w:rPr>
        <w:rFonts w:ascii="Times New Roman" w:hAnsi="Times New Roman"/>
        <w:i/>
        <w:iCs/>
        <w:sz w:val="16"/>
        <w:szCs w:val="16"/>
      </w:rPr>
    </w:pPr>
    <w:r>
      <w:rPr>
        <w:rFonts w:ascii="Times New Roman" w:hAnsi="Times New Roman"/>
        <w:i/>
        <w:iCs/>
        <w:sz w:val="16"/>
        <w:szCs w:val="16"/>
      </w:rPr>
    </w:r>
    <w:r>
      <w:rPr>
        <w:rFonts w:ascii="Times New Roman" w:hAnsi="Times New Roman"/>
        <w:i/>
        <w:iCs/>
        <w:sz w:val="16"/>
        <w:szCs w:val="16"/>
      </w:rPr>
    </w:r>
  </w:p>
  <w:p>
    <w:pPr>
      <w:pStyle w:val="717"/>
      <w:pBdr/>
      <w:tabs>
        <w:tab w:val="clear" w:leader="none" w:pos="9071"/>
        <w:tab w:val="right" w:leader="none" w:pos="9639"/>
      </w:tabs>
      <w:spacing/>
      <w:ind/>
      <w:rPr>
        <w:rFonts w:ascii="Times New Roman" w:hAnsi="Times New Roman"/>
        <w:i/>
        <w:iCs/>
        <w:sz w:val="16"/>
        <w:szCs w:val="16"/>
      </w:rPr>
    </w:pPr>
    <w:r>
      <w:rPr>
        <w:rFonts w:ascii="Times New Roman" w:hAnsi="Times New Roman"/>
        <w:i/>
        <w:iCs/>
        <w:sz w:val="16"/>
        <w:szCs w:val="16"/>
      </w:rPr>
      <w:tab/>
    </w:r>
    <w:r>
      <w:rPr>
        <w:rFonts w:ascii="Times New Roman" w:hAnsi="Times New Roman"/>
        <w:i/>
        <w:iCs/>
        <w:sz w:val="16"/>
        <w:szCs w:val="16"/>
      </w:rPr>
    </w:r>
    <w:r>
      <w:rPr>
        <w:rFonts w:ascii="Times New Roman" w:hAnsi="Times New Roman"/>
        <w:i/>
        <w:iCs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  <w:footnote w:id="2">
    <w:p>
      <w:pPr>
        <w:pStyle w:val="720"/>
        <w:pBdr/>
        <w:spacing/>
        <w:ind/>
        <w:rPr>
          <w:rFonts w:ascii="Avenir Next LT Pro" w:hAnsi="Avenir Next LT Pro"/>
          <w:i/>
          <w:sz w:val="16"/>
          <w:szCs w:val="16"/>
        </w:rPr>
      </w:pPr>
      <w:r>
        <w:rPr>
          <w:rStyle w:val="719"/>
          <w:rFonts w:ascii="Avenir Next LT Pro" w:hAnsi="Avenir Next LT Pro"/>
          <w:i/>
        </w:rPr>
        <w:footnoteRef/>
      </w:r>
      <w:r>
        <w:rPr>
          <w:rFonts w:ascii="Avenir Next LT Pro" w:hAnsi="Avenir Next LT Pro"/>
          <w:i/>
          <w:sz w:val="16"/>
          <w:szCs w:val="16"/>
        </w:rPr>
        <w:t xml:space="preserve"> L’accord de la CPAM est réputé acquis en cas de </w:t>
      </w:r>
      <w:r>
        <w:rPr>
          <w:rFonts w:ascii="Avenir Next LT Pro" w:hAnsi="Avenir Next LT Pro"/>
          <w:i/>
          <w:sz w:val="16"/>
          <w:szCs w:val="16"/>
        </w:rPr>
        <w:t xml:space="preserve">non-réponse</w:t>
      </w:r>
      <w:r>
        <w:rPr>
          <w:rFonts w:ascii="Avenir Next LT Pro" w:hAnsi="Avenir Next LT Pro"/>
          <w:i/>
          <w:sz w:val="16"/>
          <w:szCs w:val="16"/>
        </w:rPr>
        <w:t xml:space="preserve"> 7 jours après réception de la notification de l’autorité territoriale</w:t>
      </w:r>
      <w:r>
        <w:rPr>
          <w:rFonts w:ascii="Avenir Next LT Pro" w:hAnsi="Avenir Next LT Pro"/>
          <w:i/>
          <w:sz w:val="16"/>
          <w:szCs w:val="16"/>
        </w:rPr>
      </w:r>
    </w:p>
  </w:footnote>
  <w:footnote w:id="3">
    <w:p>
      <w:pPr>
        <w:pStyle w:val="720"/>
        <w:pBdr/>
        <w:spacing/>
        <w:ind/>
        <w:rPr>
          <w:rFonts w:ascii="Avenir Next LT Pro" w:hAnsi="Avenir Next LT Pro"/>
        </w:rPr>
      </w:pPr>
      <w:r>
        <w:rPr>
          <w:rStyle w:val="719"/>
          <w:rFonts w:ascii="Avenir Next LT Pro" w:hAnsi="Avenir Next LT Pro"/>
          <w:i/>
        </w:rPr>
        <w:footnoteRef/>
      </w:r>
      <w:r>
        <w:rPr>
          <w:rFonts w:ascii="Avenir Next LT Pro" w:hAnsi="Avenir Next LT Pro"/>
          <w:i/>
          <w:sz w:val="16"/>
          <w:szCs w:val="16"/>
        </w:rPr>
        <w:t xml:space="preserve"> Le renouvellement est possible une fois pour une durée maximale de 3 mois</w:t>
      </w:r>
      <w:r>
        <w:rPr>
          <w:rFonts w:ascii="Avenir Next LT Pro" w:hAnsi="Avenir Next LT Pro"/>
        </w:rPr>
      </w:r>
      <w:r>
        <w:rPr>
          <w:rFonts w:ascii="Avenir Next LT Pro" w:hAnsi="Avenir Next LT Pro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D445F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ms Rmn" w:hAnsi="Tms Rm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3"/>
    <w:next w:val="70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3"/>
    <w:next w:val="70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3"/>
    <w:next w:val="70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3"/>
    <w:next w:val="70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3"/>
    <w:next w:val="70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3"/>
    <w:next w:val="70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3"/>
    <w:next w:val="70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3"/>
    <w:next w:val="70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3"/>
    <w:next w:val="70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90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1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2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3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4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5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6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7">
    <w:name w:val="toc 9"/>
    <w:basedOn w:val="703"/>
    <w:next w:val="70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next w:val="703"/>
    <w:link w:val="703"/>
    <w:qFormat/>
    <w:pPr>
      <w:pBdr/>
      <w:spacing/>
      <w:ind/>
    </w:pPr>
    <w:rPr>
      <w:rFonts w:ascii="Tms Rmn" w:hAnsi="Tms Rmn"/>
      <w:lang w:val="fr-FR" w:eastAsia="fr-FR" w:bidi="ar-SA"/>
    </w:rPr>
  </w:style>
  <w:style w:type="paragraph" w:styleId="704">
    <w:name w:val="Titre 1"/>
    <w:basedOn w:val="703"/>
    <w:next w:val="703"/>
    <w:link w:val="703"/>
    <w:qFormat/>
    <w:pPr>
      <w:pBdr/>
      <w:spacing w:before="240"/>
      <w:ind/>
      <w:outlineLvl w:val="0"/>
    </w:pPr>
    <w:rPr>
      <w:rFonts w:ascii="Helv" w:hAnsi="Helv"/>
      <w:b/>
      <w:bCs/>
      <w:szCs w:val="24"/>
      <w:u w:val="single"/>
    </w:rPr>
  </w:style>
  <w:style w:type="paragraph" w:styleId="705">
    <w:name w:val="Titre 2"/>
    <w:basedOn w:val="703"/>
    <w:next w:val="703"/>
    <w:link w:val="703"/>
    <w:qFormat/>
    <w:pPr>
      <w:pBdr/>
      <w:spacing w:before="120"/>
      <w:ind/>
      <w:outlineLvl w:val="1"/>
    </w:pPr>
    <w:rPr>
      <w:rFonts w:ascii="Helv" w:hAnsi="Helv"/>
      <w:b/>
      <w:bCs/>
      <w:szCs w:val="24"/>
    </w:rPr>
  </w:style>
  <w:style w:type="paragraph" w:styleId="706">
    <w:name w:val="Titre 3"/>
    <w:basedOn w:val="703"/>
    <w:next w:val="716"/>
    <w:link w:val="703"/>
    <w:qFormat/>
    <w:pPr>
      <w:pBdr/>
      <w:spacing/>
      <w:ind w:left="357"/>
      <w:outlineLvl w:val="2"/>
    </w:pPr>
    <w:rPr>
      <w:b/>
      <w:bCs/>
      <w:szCs w:val="24"/>
    </w:rPr>
  </w:style>
  <w:style w:type="paragraph" w:styleId="707">
    <w:name w:val="Titre 4"/>
    <w:basedOn w:val="703"/>
    <w:next w:val="716"/>
    <w:link w:val="703"/>
    <w:qFormat/>
    <w:pPr>
      <w:pBdr/>
      <w:spacing/>
      <w:ind w:left="354"/>
      <w:outlineLvl w:val="3"/>
    </w:pPr>
    <w:rPr>
      <w:szCs w:val="24"/>
      <w:u w:val="single"/>
    </w:rPr>
  </w:style>
  <w:style w:type="paragraph" w:styleId="708">
    <w:name w:val="Titre 5"/>
    <w:basedOn w:val="703"/>
    <w:next w:val="716"/>
    <w:link w:val="703"/>
    <w:qFormat/>
    <w:pPr>
      <w:pBdr/>
      <w:spacing/>
      <w:ind w:left="708"/>
      <w:outlineLvl w:val="4"/>
    </w:pPr>
    <w:rPr>
      <w:b/>
      <w:bCs/>
    </w:rPr>
  </w:style>
  <w:style w:type="paragraph" w:styleId="709">
    <w:name w:val="Titre 6"/>
    <w:basedOn w:val="703"/>
    <w:next w:val="716"/>
    <w:link w:val="703"/>
    <w:qFormat/>
    <w:pPr>
      <w:pBdr/>
      <w:spacing/>
      <w:ind w:left="708"/>
      <w:outlineLvl w:val="5"/>
    </w:pPr>
    <w:rPr>
      <w:u w:val="single"/>
    </w:rPr>
  </w:style>
  <w:style w:type="paragraph" w:styleId="710">
    <w:name w:val="Titre 7"/>
    <w:basedOn w:val="703"/>
    <w:next w:val="716"/>
    <w:link w:val="703"/>
    <w:qFormat/>
    <w:pPr>
      <w:pBdr/>
      <w:spacing/>
      <w:ind w:left="708"/>
      <w:outlineLvl w:val="6"/>
    </w:pPr>
    <w:rPr>
      <w:i/>
      <w:iCs/>
    </w:rPr>
  </w:style>
  <w:style w:type="paragraph" w:styleId="711">
    <w:name w:val="Titre 8"/>
    <w:basedOn w:val="703"/>
    <w:next w:val="716"/>
    <w:link w:val="703"/>
    <w:qFormat/>
    <w:pPr>
      <w:pBdr/>
      <w:spacing/>
      <w:ind w:left="708"/>
      <w:outlineLvl w:val="7"/>
    </w:pPr>
    <w:rPr>
      <w:i/>
      <w:iCs/>
    </w:rPr>
  </w:style>
  <w:style w:type="paragraph" w:styleId="712">
    <w:name w:val="Titre 9"/>
    <w:basedOn w:val="703"/>
    <w:next w:val="716"/>
    <w:link w:val="703"/>
    <w:qFormat/>
    <w:pPr>
      <w:pBdr/>
      <w:spacing/>
      <w:ind w:left="708"/>
      <w:outlineLvl w:val="8"/>
    </w:pPr>
    <w:rPr>
      <w:i/>
      <w:iCs/>
    </w:rPr>
  </w:style>
  <w:style w:type="character" w:styleId="713">
    <w:name w:val="Police par défaut"/>
    <w:next w:val="713"/>
    <w:link w:val="703"/>
    <w:semiHidden/>
    <w:pPr>
      <w:pBdr/>
      <w:spacing/>
      <w:ind/>
    </w:pPr>
  </w:style>
  <w:style w:type="table" w:styleId="714">
    <w:name w:val="Tableau Normal"/>
    <w:next w:val="714"/>
    <w:link w:val="703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>
    <w:name w:val="Aucune liste"/>
    <w:next w:val="715"/>
    <w:link w:val="703"/>
    <w:semiHidden/>
    <w:pPr>
      <w:pBdr/>
      <w:spacing/>
      <w:ind/>
    </w:pPr>
  </w:style>
  <w:style w:type="paragraph" w:styleId="716">
    <w:name w:val="Retrait normal"/>
    <w:basedOn w:val="703"/>
    <w:next w:val="716"/>
    <w:link w:val="703"/>
    <w:pPr>
      <w:pBdr/>
      <w:spacing/>
      <w:ind w:left="708"/>
    </w:pPr>
  </w:style>
  <w:style w:type="paragraph" w:styleId="717">
    <w:name w:val="Pied de page"/>
    <w:basedOn w:val="703"/>
    <w:next w:val="717"/>
    <w:link w:val="703"/>
    <w:pPr>
      <w:pBdr/>
      <w:tabs>
        <w:tab w:val="center" w:leader="none" w:pos="4819"/>
        <w:tab w:val="right" w:leader="none" w:pos="9071"/>
      </w:tabs>
      <w:spacing/>
      <w:ind/>
    </w:pPr>
  </w:style>
  <w:style w:type="paragraph" w:styleId="718">
    <w:name w:val="En-tête"/>
    <w:basedOn w:val="703"/>
    <w:next w:val="718"/>
    <w:link w:val="703"/>
    <w:pPr>
      <w:pBdr/>
      <w:tabs>
        <w:tab w:val="center" w:leader="none" w:pos="4819"/>
        <w:tab w:val="right" w:leader="none" w:pos="9071"/>
      </w:tabs>
      <w:spacing/>
      <w:ind/>
    </w:pPr>
  </w:style>
  <w:style w:type="character" w:styleId="719">
    <w:name w:val="Appel note de bas de p."/>
    <w:next w:val="719"/>
    <w:link w:val="703"/>
    <w:semiHidden/>
    <w:pPr>
      <w:pBdr/>
      <w:spacing/>
      <w:ind/>
    </w:pPr>
    <w:rPr>
      <w:position w:val="6"/>
      <w:sz w:val="16"/>
      <w:szCs w:val="16"/>
    </w:rPr>
  </w:style>
  <w:style w:type="paragraph" w:styleId="720">
    <w:name w:val="Note de bas de page"/>
    <w:basedOn w:val="703"/>
    <w:next w:val="720"/>
    <w:link w:val="703"/>
    <w:semiHidden/>
    <w:pPr>
      <w:pBdr/>
      <w:spacing/>
      <w:ind/>
    </w:pPr>
  </w:style>
  <w:style w:type="paragraph" w:styleId="721">
    <w:name w:val="Texte de bulles"/>
    <w:basedOn w:val="703"/>
    <w:next w:val="721"/>
    <w:link w:val="70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22">
    <w:name w:val="Élevé"/>
    <w:next w:val="722"/>
    <w:link w:val="703"/>
    <w:qFormat/>
    <w:pPr>
      <w:pBdr/>
      <w:spacing/>
      <w:ind/>
    </w:pPr>
    <w:rPr>
      <w:b/>
      <w:bCs/>
    </w:rPr>
  </w:style>
  <w:style w:type="paragraph" w:styleId="723">
    <w:name w:val="Titre"/>
    <w:basedOn w:val="703"/>
    <w:next w:val="723"/>
    <w:link w:val="724"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10" w:color="auto" w:fill="auto"/>
      <w:tabs>
        <w:tab w:val="left" w:leader="none" w:pos="8931"/>
        <w:tab w:val="left" w:leader="none" w:pos="9214"/>
      </w:tabs>
      <w:spacing/>
      <w:ind w:right="2835" w:left="3119"/>
      <w:jc w:val="center"/>
    </w:pPr>
    <w:rPr>
      <w:rFonts w:ascii="Arial" w:hAnsi="Arial"/>
      <w:i/>
      <w:iCs/>
      <w:sz w:val="24"/>
      <w:szCs w:val="24"/>
    </w:rPr>
  </w:style>
  <w:style w:type="character" w:styleId="724">
    <w:name w:val="Titre Car"/>
    <w:next w:val="724"/>
    <w:link w:val="723"/>
    <w:pPr>
      <w:pBdr/>
      <w:spacing/>
      <w:ind/>
    </w:pPr>
    <w:rPr>
      <w:rFonts w:ascii="Arial" w:hAnsi="Arial"/>
      <w:i/>
      <w:iCs/>
      <w:sz w:val="24"/>
      <w:szCs w:val="24"/>
      <w:shd w:val="pct10" w:color="auto" w:fill="auto"/>
    </w:rPr>
  </w:style>
  <w:style w:type="character" w:styleId="725">
    <w:name w:val="Lien hypertexte"/>
    <w:next w:val="725"/>
    <w:link w:val="703"/>
    <w:pPr>
      <w:pBdr/>
      <w:spacing/>
      <w:ind/>
    </w:pPr>
    <w:rPr>
      <w:color w:val="467886"/>
      <w:u w:val="single"/>
    </w:rPr>
  </w:style>
  <w:style w:type="character" w:styleId="726">
    <w:name w:val="Mention non résolue"/>
    <w:next w:val="726"/>
    <w:link w:val="70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Cdg35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mise en congé d</dc:title>
  <dc:creator>Yann VASSEAU</dc:creator>
  <cp:lastModifiedBy>Utilisateur</cp:lastModifiedBy>
  <cp:revision>7</cp:revision>
  <dcterms:created xsi:type="dcterms:W3CDTF">2026-04-02T08:00:00Z</dcterms:created>
  <dcterms:modified xsi:type="dcterms:W3CDTF">2026-04-14T07:17:56Z</dcterms:modified>
  <cp:version>1048576</cp:version>
</cp:coreProperties>
</file>