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95" w:type="dxa"/>
        <w:tblLook w:val="04A0" w:firstRow="1" w:lastRow="0" w:firstColumn="1" w:lastColumn="0" w:noHBand="0" w:noVBand="1"/>
      </w:tblPr>
      <w:tblGrid>
        <w:gridCol w:w="9072"/>
        <w:gridCol w:w="323"/>
      </w:tblGrid>
      <w:tr w:rsidR="005F2453" w14:paraId="22CDD6AD" w14:textId="77777777" w:rsidTr="005F2453">
        <w:tc>
          <w:tcPr>
            <w:tcW w:w="9072" w:type="dxa"/>
            <w:tcBorders>
              <w:top w:val="nil"/>
              <w:left w:val="nil"/>
              <w:bottom w:val="nil"/>
              <w:right w:val="nil"/>
            </w:tcBorders>
          </w:tcPr>
          <w:p w14:paraId="04CB9BB6" w14:textId="50592F37" w:rsidR="005F2453" w:rsidRDefault="005F2453" w:rsidP="005F2453">
            <w:pPr>
              <w:pStyle w:val="Default"/>
              <w:tabs>
                <w:tab w:val="left" w:pos="2550"/>
              </w:tabs>
              <w:spacing w:before="120" w:after="120"/>
              <w:ind w:hanging="14"/>
              <w:jc w:val="center"/>
            </w:pPr>
            <w:r>
              <w:rPr>
                <w:b/>
                <w:bCs/>
                <w:sz w:val="23"/>
                <w:szCs w:val="23"/>
              </w:rPr>
              <w:t>CONVENTION RELATIVE A LA MISE À DISPOSITION DE L’OUTIL BAROMÈTRE D’ÉVALUATION DE L’ÉGALITÉ PROFESSIONNELLE ET D’AIDE À L’ÉLABORATION DES PLANS D’ACTIONS ET ACCOMPAGNEMENT À LA RÉDACTION DU PLAN</w:t>
            </w:r>
          </w:p>
        </w:tc>
        <w:tc>
          <w:tcPr>
            <w:tcW w:w="323" w:type="dxa"/>
            <w:tcBorders>
              <w:top w:val="nil"/>
              <w:left w:val="nil"/>
              <w:bottom w:val="nil"/>
              <w:right w:val="nil"/>
            </w:tcBorders>
          </w:tcPr>
          <w:p w14:paraId="12214E84" w14:textId="77777777" w:rsidR="005F2453" w:rsidRDefault="005F2453">
            <w:pPr>
              <w:pStyle w:val="Default"/>
            </w:pPr>
          </w:p>
        </w:tc>
      </w:tr>
    </w:tbl>
    <w:p w14:paraId="4DB17194" w14:textId="77777777" w:rsidR="005F2453" w:rsidRDefault="005F2453" w:rsidP="005F2453">
      <w:pPr>
        <w:pStyle w:val="Default"/>
      </w:pPr>
    </w:p>
    <w:p w14:paraId="2B5F2697" w14:textId="77777777" w:rsidR="005F2453" w:rsidRDefault="005F2453" w:rsidP="005F2453">
      <w:pPr>
        <w:pStyle w:val="Default"/>
        <w:spacing w:before="120" w:after="120"/>
        <w:rPr>
          <w:sz w:val="22"/>
          <w:szCs w:val="22"/>
        </w:rPr>
      </w:pPr>
      <w:r>
        <w:rPr>
          <w:b/>
          <w:bCs/>
          <w:sz w:val="22"/>
          <w:szCs w:val="22"/>
        </w:rPr>
        <w:t xml:space="preserve">Entre, </w:t>
      </w:r>
    </w:p>
    <w:p w14:paraId="7C5830F0" w14:textId="77777777" w:rsidR="005F2453" w:rsidRDefault="005F2453" w:rsidP="005F2453">
      <w:pPr>
        <w:pStyle w:val="Default"/>
        <w:spacing w:before="120" w:after="120"/>
        <w:jc w:val="both"/>
        <w:rPr>
          <w:sz w:val="22"/>
          <w:szCs w:val="22"/>
        </w:rPr>
      </w:pPr>
      <w:r>
        <w:rPr>
          <w:b/>
          <w:bCs/>
          <w:sz w:val="22"/>
          <w:szCs w:val="22"/>
        </w:rPr>
        <w:t>Le Centre de Gestion de la Fonction Publique Territoriale de la Charente-Maritime</w:t>
      </w:r>
      <w:r>
        <w:rPr>
          <w:sz w:val="22"/>
          <w:szCs w:val="22"/>
        </w:rPr>
        <w:t>, représenté par son Président, Monsieur Alexandre GRENOT, dûment habilité par délibération n°DEL20201112-6 en date du 12 novembre 2020 du Conseil d’administration, ci-après dénommé le « Centre de Gestion »,</w:t>
      </w:r>
    </w:p>
    <w:p w14:paraId="5E5A6F55" w14:textId="77777777" w:rsidR="005F2453" w:rsidRDefault="005F2453" w:rsidP="005F2453">
      <w:pPr>
        <w:pStyle w:val="Default"/>
        <w:spacing w:before="120" w:after="120"/>
        <w:jc w:val="right"/>
        <w:rPr>
          <w:sz w:val="22"/>
          <w:szCs w:val="22"/>
        </w:rPr>
      </w:pPr>
      <w:r>
        <w:rPr>
          <w:b/>
          <w:bCs/>
          <w:sz w:val="22"/>
          <w:szCs w:val="22"/>
        </w:rPr>
        <w:t xml:space="preserve">d'une part, </w:t>
      </w:r>
    </w:p>
    <w:p w14:paraId="4E6DEB5E" w14:textId="77777777" w:rsidR="005F2453" w:rsidRDefault="005F2453" w:rsidP="005F2453">
      <w:pPr>
        <w:pStyle w:val="Default"/>
        <w:spacing w:before="120" w:after="120"/>
        <w:rPr>
          <w:sz w:val="22"/>
          <w:szCs w:val="22"/>
        </w:rPr>
      </w:pPr>
      <w:r>
        <w:rPr>
          <w:b/>
          <w:bCs/>
          <w:sz w:val="22"/>
          <w:szCs w:val="22"/>
        </w:rPr>
        <w:t xml:space="preserve">et, </w:t>
      </w:r>
    </w:p>
    <w:p w14:paraId="69EB46AB" w14:textId="77777777" w:rsidR="005F2453" w:rsidRDefault="005F2453" w:rsidP="005F2453">
      <w:pPr>
        <w:pStyle w:val="Default"/>
        <w:spacing w:before="120" w:after="120"/>
        <w:rPr>
          <w:sz w:val="22"/>
          <w:szCs w:val="22"/>
        </w:rPr>
      </w:pPr>
      <w:r>
        <w:rPr>
          <w:b/>
          <w:bCs/>
          <w:sz w:val="22"/>
          <w:szCs w:val="22"/>
        </w:rPr>
        <w:t xml:space="preserve">La commune de … </w:t>
      </w:r>
      <w:r>
        <w:rPr>
          <w:b/>
          <w:bCs/>
          <w:i/>
          <w:iCs/>
          <w:sz w:val="22"/>
          <w:szCs w:val="22"/>
        </w:rPr>
        <w:t xml:space="preserve">(ou établissement) </w:t>
      </w:r>
      <w:r>
        <w:rPr>
          <w:sz w:val="22"/>
          <w:szCs w:val="22"/>
        </w:rPr>
        <w:t>représenté</w:t>
      </w:r>
      <w:r>
        <w:rPr>
          <w:i/>
          <w:iCs/>
          <w:sz w:val="22"/>
          <w:szCs w:val="22"/>
        </w:rPr>
        <w:t xml:space="preserve">(e) </w:t>
      </w:r>
      <w:r>
        <w:rPr>
          <w:sz w:val="22"/>
          <w:szCs w:val="22"/>
        </w:rPr>
        <w:t xml:space="preserve">par son Maire/Président, M. ………..., dûment habilité par délibération en date du……………., </w:t>
      </w:r>
      <w:proofErr w:type="spellStart"/>
      <w:r>
        <w:rPr>
          <w:sz w:val="22"/>
          <w:szCs w:val="22"/>
        </w:rPr>
        <w:t>ci après</w:t>
      </w:r>
      <w:proofErr w:type="spellEnd"/>
      <w:r>
        <w:rPr>
          <w:sz w:val="22"/>
          <w:szCs w:val="22"/>
        </w:rPr>
        <w:t xml:space="preserve"> dénommé la « collectivité »,</w:t>
      </w:r>
    </w:p>
    <w:p w14:paraId="0202FFF1" w14:textId="77777777" w:rsidR="005F2453" w:rsidRDefault="005F2453" w:rsidP="005F2453">
      <w:pPr>
        <w:pStyle w:val="Default"/>
        <w:spacing w:before="120" w:after="120"/>
        <w:jc w:val="right"/>
        <w:rPr>
          <w:sz w:val="22"/>
          <w:szCs w:val="22"/>
        </w:rPr>
      </w:pPr>
      <w:r>
        <w:rPr>
          <w:b/>
          <w:bCs/>
          <w:sz w:val="22"/>
          <w:szCs w:val="22"/>
        </w:rPr>
        <w:t xml:space="preserve">d'autre part. </w:t>
      </w:r>
    </w:p>
    <w:p w14:paraId="749793B9" w14:textId="77777777" w:rsidR="00EA7DAB" w:rsidRPr="00285EB7" w:rsidRDefault="00EA7DAB" w:rsidP="00EA7DAB">
      <w:pPr>
        <w:pStyle w:val="Default"/>
        <w:spacing w:after="142"/>
        <w:jc w:val="both"/>
        <w:rPr>
          <w:sz w:val="22"/>
          <w:szCs w:val="22"/>
        </w:rPr>
      </w:pPr>
      <w:bookmarkStart w:id="0" w:name="_Hlk104209243"/>
      <w:r w:rsidRPr="00285EB7">
        <w:rPr>
          <w:b/>
          <w:bCs/>
          <w:sz w:val="22"/>
          <w:szCs w:val="22"/>
        </w:rPr>
        <w:t>Vu</w:t>
      </w:r>
      <w:r w:rsidRPr="00285EB7">
        <w:t xml:space="preserve"> le </w:t>
      </w:r>
      <w:r w:rsidRPr="00285EB7">
        <w:rPr>
          <w:sz w:val="22"/>
          <w:szCs w:val="22"/>
        </w:rPr>
        <w:t>code général des collectivités territoriales,</w:t>
      </w:r>
    </w:p>
    <w:bookmarkEnd w:id="0"/>
    <w:p w14:paraId="482170A8" w14:textId="77777777" w:rsidR="005F2453" w:rsidRPr="00285EB7" w:rsidRDefault="005F2453" w:rsidP="005F2453">
      <w:pPr>
        <w:pStyle w:val="Default"/>
        <w:spacing w:after="142"/>
        <w:jc w:val="both"/>
        <w:rPr>
          <w:sz w:val="22"/>
          <w:szCs w:val="22"/>
        </w:rPr>
      </w:pPr>
      <w:r w:rsidRPr="00285EB7">
        <w:rPr>
          <w:b/>
          <w:sz w:val="22"/>
          <w:szCs w:val="22"/>
        </w:rPr>
        <w:t>Vu</w:t>
      </w:r>
      <w:r w:rsidRPr="00285EB7">
        <w:rPr>
          <w:sz w:val="22"/>
          <w:szCs w:val="22"/>
        </w:rPr>
        <w:t xml:space="preserve"> la loi n°84-53 du 26 janvier 1984 portant dispositions statutaires relatives à la Fonction Publique Territoriale, et notamment son article 25, </w:t>
      </w:r>
    </w:p>
    <w:p w14:paraId="45EBA809" w14:textId="77777777" w:rsidR="005F2453" w:rsidRPr="00285EB7" w:rsidRDefault="005F2453" w:rsidP="005F2453">
      <w:pPr>
        <w:pStyle w:val="Default"/>
        <w:spacing w:after="142"/>
        <w:jc w:val="both"/>
        <w:rPr>
          <w:sz w:val="22"/>
          <w:szCs w:val="22"/>
        </w:rPr>
      </w:pPr>
      <w:r w:rsidRPr="00285EB7">
        <w:rPr>
          <w:b/>
          <w:sz w:val="22"/>
          <w:szCs w:val="22"/>
        </w:rPr>
        <w:t>Vu</w:t>
      </w:r>
      <w:r w:rsidRPr="00285EB7">
        <w:rPr>
          <w:sz w:val="22"/>
          <w:szCs w:val="22"/>
        </w:rPr>
        <w:t xml:space="preserve"> le décret n° 85-643 du 26 juin 1985 modifié relatif aux Centres de Gestion institués par la loi n° 84-53 du 26 janvier 1984 modifiée portant dispositions statutaires relative à la fonction publique territoriale, </w:t>
      </w:r>
    </w:p>
    <w:p w14:paraId="7C9A4B4A" w14:textId="71B4A9AA" w:rsidR="005F2453" w:rsidRDefault="005F2453" w:rsidP="005F2453">
      <w:pPr>
        <w:pStyle w:val="Default"/>
        <w:spacing w:after="142"/>
        <w:jc w:val="both"/>
        <w:rPr>
          <w:sz w:val="22"/>
          <w:szCs w:val="22"/>
        </w:rPr>
      </w:pPr>
      <w:r w:rsidRPr="00285EB7">
        <w:rPr>
          <w:b/>
          <w:sz w:val="22"/>
          <w:szCs w:val="22"/>
        </w:rPr>
        <w:t>Vu</w:t>
      </w:r>
      <w:r w:rsidRPr="00285EB7">
        <w:rPr>
          <w:sz w:val="22"/>
          <w:szCs w:val="22"/>
        </w:rPr>
        <w:t xml:space="preserve"> la délibération </w:t>
      </w:r>
      <w:r w:rsidR="005B481C" w:rsidRPr="00285EB7">
        <w:rPr>
          <w:sz w:val="22"/>
          <w:szCs w:val="22"/>
        </w:rPr>
        <w:t>n°DEL20220113-6 en date du 13 janvier 2022</w:t>
      </w:r>
      <w:r w:rsidR="005B481C" w:rsidRPr="00285EB7">
        <w:t xml:space="preserve"> </w:t>
      </w:r>
      <w:r w:rsidRPr="00285EB7">
        <w:rPr>
          <w:sz w:val="22"/>
          <w:szCs w:val="22"/>
        </w:rPr>
        <w:t xml:space="preserve">du Conseil d'administration du Centre de Gestion de la Charente-Maritime, </w:t>
      </w:r>
      <w:r w:rsidR="001D73F7" w:rsidRPr="00285EB7">
        <w:rPr>
          <w:sz w:val="22"/>
          <w:szCs w:val="22"/>
        </w:rPr>
        <w:t>relative à la mise à disposition de l’outil baromètre d’évaluation de l’égalité professionnelle et d’aide à l’élaboration des plans d’actions et accompagnement à la rédaction du plan</w:t>
      </w:r>
      <w:r w:rsidRPr="00285EB7">
        <w:rPr>
          <w:sz w:val="22"/>
          <w:szCs w:val="22"/>
        </w:rPr>
        <w:t>,</w:t>
      </w:r>
      <w:r>
        <w:rPr>
          <w:sz w:val="22"/>
          <w:szCs w:val="22"/>
        </w:rPr>
        <w:t xml:space="preserve"> </w:t>
      </w:r>
    </w:p>
    <w:p w14:paraId="464756E9" w14:textId="77777777" w:rsidR="005F2453" w:rsidRDefault="005F2453" w:rsidP="005F2453">
      <w:pPr>
        <w:pStyle w:val="Default"/>
        <w:jc w:val="both"/>
        <w:rPr>
          <w:sz w:val="22"/>
          <w:szCs w:val="22"/>
        </w:rPr>
      </w:pPr>
      <w:r>
        <w:rPr>
          <w:b/>
          <w:sz w:val="22"/>
          <w:szCs w:val="22"/>
        </w:rPr>
        <w:t>Vu</w:t>
      </w:r>
      <w:r>
        <w:rPr>
          <w:sz w:val="22"/>
          <w:szCs w:val="22"/>
        </w:rPr>
        <w:t xml:space="preserve"> la délibération de la commune de … (ou établissement) en date du ….… sollicitant la mise à disposition de l’outil « égalité professionnelle »,</w:t>
      </w:r>
    </w:p>
    <w:p w14:paraId="39DDFA64" w14:textId="77777777" w:rsidR="005F2453" w:rsidRDefault="005F2453" w:rsidP="005F2453">
      <w:pPr>
        <w:pStyle w:val="Default"/>
        <w:rPr>
          <w:sz w:val="22"/>
          <w:szCs w:val="22"/>
        </w:rPr>
      </w:pPr>
    </w:p>
    <w:p w14:paraId="13DBAEB0" w14:textId="77777777" w:rsidR="005F2453" w:rsidRDefault="005F2453" w:rsidP="005F2453">
      <w:pPr>
        <w:pStyle w:val="Default"/>
        <w:spacing w:before="120" w:after="120"/>
        <w:jc w:val="center"/>
        <w:rPr>
          <w:b/>
          <w:bCs/>
          <w:i/>
          <w:iCs/>
          <w:sz w:val="22"/>
          <w:szCs w:val="22"/>
        </w:rPr>
      </w:pPr>
      <w:r>
        <w:rPr>
          <w:b/>
          <w:bCs/>
          <w:i/>
          <w:iCs/>
          <w:sz w:val="22"/>
          <w:szCs w:val="22"/>
        </w:rPr>
        <w:t>IL A ETE ARRETE ET CONVENU CE QUI SUIT :</w:t>
      </w:r>
    </w:p>
    <w:p w14:paraId="6DC9600A" w14:textId="77777777" w:rsidR="005F2453" w:rsidRDefault="005F2453" w:rsidP="005F2453">
      <w:pPr>
        <w:pStyle w:val="Default"/>
        <w:spacing w:before="120" w:after="120"/>
        <w:jc w:val="center"/>
        <w:rPr>
          <w:sz w:val="22"/>
          <w:szCs w:val="22"/>
        </w:rPr>
      </w:pPr>
    </w:p>
    <w:p w14:paraId="6176521F" w14:textId="77777777" w:rsidR="005F2453" w:rsidRDefault="005F2453" w:rsidP="005F2453">
      <w:pPr>
        <w:pStyle w:val="Default"/>
        <w:spacing w:after="120" w:line="276" w:lineRule="auto"/>
        <w:rPr>
          <w:sz w:val="22"/>
          <w:szCs w:val="22"/>
        </w:rPr>
      </w:pPr>
      <w:r>
        <w:rPr>
          <w:b/>
          <w:bCs/>
          <w:sz w:val="22"/>
          <w:szCs w:val="22"/>
        </w:rPr>
        <w:t xml:space="preserve">ARTICLE 1 : </w:t>
      </w:r>
      <w:r>
        <w:rPr>
          <w:b/>
          <w:bCs/>
          <w:i/>
          <w:iCs/>
          <w:sz w:val="22"/>
          <w:szCs w:val="22"/>
        </w:rPr>
        <w:t xml:space="preserve">Objet et nature des prestations </w:t>
      </w:r>
    </w:p>
    <w:p w14:paraId="13395E15" w14:textId="77777777" w:rsidR="005F2453" w:rsidRDefault="005F2453" w:rsidP="005F2453">
      <w:pPr>
        <w:pStyle w:val="Default"/>
        <w:spacing w:line="276" w:lineRule="auto"/>
        <w:jc w:val="both"/>
        <w:rPr>
          <w:sz w:val="22"/>
          <w:szCs w:val="22"/>
        </w:rPr>
      </w:pPr>
      <w:r>
        <w:rPr>
          <w:sz w:val="22"/>
          <w:szCs w:val="22"/>
        </w:rPr>
        <w:t>Le Centre de Gestion met à disposition un outil d’aide à l’élaboration des Plans d’action « Egalité professionnelle » à destination des collectivités.</w:t>
      </w:r>
    </w:p>
    <w:p w14:paraId="1ADB17E9" w14:textId="77777777" w:rsidR="005F2453" w:rsidRDefault="005F2453" w:rsidP="005F2453">
      <w:pPr>
        <w:pStyle w:val="xmsonormal"/>
        <w:shd w:val="clear" w:color="auto" w:fill="FFFFFF"/>
        <w:spacing w:before="120" w:beforeAutospacing="0" w:after="120" w:afterAutospacing="0"/>
        <w:jc w:val="both"/>
        <w:rPr>
          <w:rFonts w:ascii="Arial" w:hAnsi="Arial" w:cs="Arial"/>
          <w:sz w:val="22"/>
          <w:szCs w:val="22"/>
        </w:rPr>
      </w:pPr>
      <w:r>
        <w:rPr>
          <w:rFonts w:ascii="Arial" w:hAnsi="Arial" w:cs="Arial"/>
          <w:sz w:val="22"/>
          <w:szCs w:val="22"/>
        </w:rPr>
        <w:t>Cet outil est composé de 5 parties :</w:t>
      </w:r>
    </w:p>
    <w:p w14:paraId="6230F5AC" w14:textId="77777777" w:rsidR="005F2453" w:rsidRDefault="005F2453" w:rsidP="005F2453">
      <w:pPr>
        <w:pStyle w:val="xmsonormal"/>
        <w:numPr>
          <w:ilvl w:val="0"/>
          <w:numId w:val="7"/>
        </w:numPr>
        <w:shd w:val="clear" w:color="auto" w:fill="FFFFFF"/>
        <w:spacing w:before="0" w:beforeAutospacing="0" w:after="0" w:afterAutospacing="0"/>
        <w:ind w:left="340"/>
        <w:jc w:val="both"/>
        <w:rPr>
          <w:rFonts w:ascii="Arial" w:hAnsi="Arial" w:cs="Arial"/>
          <w:sz w:val="22"/>
          <w:szCs w:val="22"/>
        </w:rPr>
      </w:pPr>
      <w:r>
        <w:rPr>
          <w:rFonts w:ascii="Arial" w:hAnsi="Arial" w:cs="Arial"/>
          <w:sz w:val="22"/>
          <w:szCs w:val="22"/>
        </w:rPr>
        <w:t>L’aide à la mise en place d’un plan triennal dans une démarche participative</w:t>
      </w:r>
    </w:p>
    <w:p w14:paraId="0B4DB1E3" w14:textId="77777777" w:rsidR="005F2453" w:rsidRDefault="005F2453" w:rsidP="005F2453">
      <w:pPr>
        <w:pStyle w:val="xmsonormal"/>
        <w:numPr>
          <w:ilvl w:val="0"/>
          <w:numId w:val="7"/>
        </w:numPr>
        <w:shd w:val="clear" w:color="auto" w:fill="FFFFFF"/>
        <w:spacing w:before="0" w:beforeAutospacing="0" w:after="0" w:afterAutospacing="0"/>
        <w:ind w:left="340"/>
        <w:jc w:val="both"/>
        <w:rPr>
          <w:rFonts w:ascii="Arial" w:hAnsi="Arial" w:cs="Arial"/>
          <w:sz w:val="22"/>
          <w:szCs w:val="22"/>
        </w:rPr>
      </w:pPr>
      <w:r>
        <w:rPr>
          <w:rFonts w:ascii="Arial" w:hAnsi="Arial" w:cs="Arial"/>
          <w:sz w:val="22"/>
          <w:szCs w:val="22"/>
        </w:rPr>
        <w:t>Le calcul des éventuels écarts de rémunération entre femmes et hommes</w:t>
      </w:r>
    </w:p>
    <w:p w14:paraId="3EAE023E" w14:textId="77777777" w:rsidR="005F2453" w:rsidRDefault="005F2453" w:rsidP="005F2453">
      <w:pPr>
        <w:pStyle w:val="xmsonormal"/>
        <w:numPr>
          <w:ilvl w:val="0"/>
          <w:numId w:val="7"/>
        </w:numPr>
        <w:shd w:val="clear" w:color="auto" w:fill="FFFFFF"/>
        <w:spacing w:before="0" w:beforeAutospacing="0" w:after="0" w:afterAutospacing="0"/>
        <w:ind w:left="340"/>
        <w:jc w:val="both"/>
        <w:rPr>
          <w:rFonts w:ascii="Arial" w:hAnsi="Arial" w:cs="Arial"/>
          <w:sz w:val="22"/>
          <w:szCs w:val="22"/>
        </w:rPr>
      </w:pPr>
      <w:r>
        <w:rPr>
          <w:rFonts w:ascii="Arial" w:hAnsi="Arial" w:cs="Arial"/>
          <w:sz w:val="22"/>
          <w:szCs w:val="22"/>
        </w:rPr>
        <w:lastRenderedPageBreak/>
        <w:t>Un bilan de l’égal accès des femmes et des hommes aux cadres d’emplois, grades et emplois de la fonction publique</w:t>
      </w:r>
    </w:p>
    <w:p w14:paraId="3498E7E1" w14:textId="77777777" w:rsidR="005F2453" w:rsidRDefault="005F2453" w:rsidP="005F2453">
      <w:pPr>
        <w:pStyle w:val="xmsonormal"/>
        <w:numPr>
          <w:ilvl w:val="0"/>
          <w:numId w:val="7"/>
        </w:numPr>
        <w:shd w:val="clear" w:color="auto" w:fill="FFFFFF"/>
        <w:spacing w:before="0" w:beforeAutospacing="0" w:after="0" w:afterAutospacing="0"/>
        <w:ind w:left="340"/>
        <w:jc w:val="both"/>
        <w:rPr>
          <w:rFonts w:ascii="Arial" w:hAnsi="Arial" w:cs="Arial"/>
          <w:sz w:val="22"/>
          <w:szCs w:val="22"/>
        </w:rPr>
      </w:pPr>
      <w:r>
        <w:rPr>
          <w:rFonts w:ascii="Arial" w:hAnsi="Arial" w:cs="Arial"/>
          <w:sz w:val="22"/>
          <w:szCs w:val="22"/>
        </w:rPr>
        <w:t>L’évaluation de l’articulation entre activité professionnelle et vie personnelle et familiale</w:t>
      </w:r>
    </w:p>
    <w:p w14:paraId="69047708" w14:textId="77777777" w:rsidR="005F2453" w:rsidRDefault="005F2453" w:rsidP="005F2453">
      <w:pPr>
        <w:pStyle w:val="xmsonormal"/>
        <w:numPr>
          <w:ilvl w:val="0"/>
          <w:numId w:val="7"/>
        </w:numPr>
        <w:shd w:val="clear" w:color="auto" w:fill="FFFFFF"/>
        <w:spacing w:before="0" w:beforeAutospacing="0" w:after="120" w:afterAutospacing="0"/>
        <w:ind w:left="340"/>
        <w:jc w:val="both"/>
        <w:rPr>
          <w:rFonts w:ascii="Arial" w:hAnsi="Arial" w:cs="Arial"/>
          <w:sz w:val="22"/>
          <w:szCs w:val="22"/>
        </w:rPr>
      </w:pPr>
      <w:r>
        <w:rPr>
          <w:rFonts w:ascii="Arial" w:hAnsi="Arial" w:cs="Arial"/>
          <w:sz w:val="22"/>
          <w:szCs w:val="22"/>
        </w:rPr>
        <w:t>L’analyse des actions de prévention et de traitement des discriminations, actes de violence, harcèlement moral ou sexuel ainsi que des agissements sexistes</w:t>
      </w:r>
    </w:p>
    <w:p w14:paraId="6B575501" w14:textId="77777777" w:rsidR="005F2453" w:rsidRDefault="005F2453" w:rsidP="005F2453">
      <w:pPr>
        <w:pStyle w:val="xmsonormal"/>
        <w:shd w:val="clear" w:color="auto" w:fill="FFFFFF"/>
        <w:spacing w:before="0" w:beforeAutospacing="0" w:after="120" w:afterAutospacing="0"/>
        <w:ind w:left="57"/>
        <w:jc w:val="both"/>
        <w:rPr>
          <w:rFonts w:ascii="Arial" w:hAnsi="Arial" w:cs="Arial"/>
          <w:sz w:val="22"/>
          <w:szCs w:val="22"/>
        </w:rPr>
      </w:pPr>
      <w:r>
        <w:rPr>
          <w:rFonts w:ascii="Arial" w:hAnsi="Arial" w:cs="Arial"/>
          <w:sz w:val="22"/>
          <w:szCs w:val="22"/>
        </w:rPr>
        <w:t>Chaque partie comprend un diagnostic établi à partir des indicateurs du Rapport Social Unique.</w:t>
      </w:r>
    </w:p>
    <w:p w14:paraId="1065052C" w14:textId="77777777" w:rsidR="005F2453" w:rsidRDefault="005F2453" w:rsidP="005F2453">
      <w:pPr>
        <w:pStyle w:val="xmsonormal"/>
        <w:shd w:val="clear" w:color="auto" w:fill="FFFFFF"/>
        <w:spacing w:before="0" w:beforeAutospacing="0" w:after="120" w:afterAutospacing="0"/>
        <w:ind w:left="57"/>
        <w:jc w:val="both"/>
        <w:rPr>
          <w:rFonts w:ascii="Arial" w:hAnsi="Arial" w:cs="Arial"/>
          <w:sz w:val="22"/>
          <w:szCs w:val="22"/>
        </w:rPr>
      </w:pPr>
      <w:r>
        <w:rPr>
          <w:rFonts w:ascii="Arial" w:hAnsi="Arial" w:cs="Arial"/>
          <w:sz w:val="22"/>
          <w:szCs w:val="22"/>
        </w:rPr>
        <w:t>En complément de cet outil, il est proposé un baromètre permettant d’attribuer une « note » aux collectivités sur l’égalité professionnelle, dans le même esprit que l’obligation qui s’applique dans le secteur privé.</w:t>
      </w:r>
    </w:p>
    <w:p w14:paraId="0E841B90" w14:textId="77777777" w:rsidR="005F2453" w:rsidRDefault="005F2453" w:rsidP="005F2453">
      <w:pPr>
        <w:spacing w:after="120"/>
        <w:jc w:val="both"/>
        <w:rPr>
          <w:rFonts w:cs="Arial"/>
          <w:szCs w:val="22"/>
        </w:rPr>
      </w:pPr>
      <w:r>
        <w:rPr>
          <w:rFonts w:cs="Arial"/>
          <w:szCs w:val="22"/>
        </w:rPr>
        <w:t>Cette prestation comprend :</w:t>
      </w:r>
    </w:p>
    <w:p w14:paraId="7D222E16" w14:textId="77777777" w:rsidR="005F2453" w:rsidRDefault="005F2453" w:rsidP="005F2453">
      <w:pPr>
        <w:pStyle w:val="Paragraphedeliste"/>
        <w:numPr>
          <w:ilvl w:val="0"/>
          <w:numId w:val="8"/>
        </w:numPr>
        <w:spacing w:after="120"/>
        <w:ind w:left="851"/>
        <w:jc w:val="both"/>
        <w:rPr>
          <w:rFonts w:cs="Arial"/>
          <w:szCs w:val="22"/>
        </w:rPr>
      </w:pPr>
      <w:r>
        <w:rPr>
          <w:rFonts w:cs="Arial"/>
        </w:rPr>
        <w:t>La transmission de l’outil égalité « égalité professionnelle » ;</w:t>
      </w:r>
    </w:p>
    <w:p w14:paraId="234F0CD6" w14:textId="77777777" w:rsidR="005F2453" w:rsidRDefault="005F2453" w:rsidP="005F2453">
      <w:pPr>
        <w:pStyle w:val="Paragraphedeliste"/>
        <w:numPr>
          <w:ilvl w:val="0"/>
          <w:numId w:val="8"/>
        </w:numPr>
        <w:spacing w:after="120"/>
        <w:ind w:left="851"/>
        <w:jc w:val="both"/>
        <w:rPr>
          <w:rFonts w:cs="Arial"/>
        </w:rPr>
      </w:pPr>
      <w:r>
        <w:rPr>
          <w:rFonts w:cs="Arial"/>
        </w:rPr>
        <w:t>L’accompagnement à la rédaction du plan d’actions.</w:t>
      </w:r>
    </w:p>
    <w:p w14:paraId="2AAC378C" w14:textId="77777777" w:rsidR="005F2453" w:rsidRDefault="005F2453" w:rsidP="005F2453">
      <w:pPr>
        <w:pStyle w:val="Default"/>
        <w:spacing w:before="360" w:after="120" w:line="276" w:lineRule="auto"/>
        <w:rPr>
          <w:b/>
          <w:bCs/>
          <w:sz w:val="22"/>
          <w:szCs w:val="22"/>
        </w:rPr>
      </w:pPr>
      <w:r>
        <w:rPr>
          <w:b/>
          <w:bCs/>
          <w:sz w:val="22"/>
          <w:szCs w:val="22"/>
        </w:rPr>
        <w:t xml:space="preserve">ARTICLE 2 : </w:t>
      </w:r>
      <w:r>
        <w:rPr>
          <w:b/>
          <w:bCs/>
          <w:i/>
          <w:sz w:val="22"/>
          <w:szCs w:val="22"/>
        </w:rPr>
        <w:t>Conditions d’intervention</w:t>
      </w:r>
    </w:p>
    <w:p w14:paraId="2BDBCC7A" w14:textId="77777777" w:rsidR="005F2453" w:rsidRDefault="005F2453" w:rsidP="005F2453">
      <w:pPr>
        <w:pStyle w:val="Default"/>
        <w:spacing w:before="120" w:line="276" w:lineRule="auto"/>
        <w:jc w:val="both"/>
        <w:rPr>
          <w:sz w:val="22"/>
          <w:szCs w:val="22"/>
        </w:rPr>
      </w:pPr>
      <w:r>
        <w:rPr>
          <w:sz w:val="22"/>
          <w:szCs w:val="22"/>
        </w:rPr>
        <w:t>La collectivité s’engage à désigner un référent, interlocuteur unique du Centre de Gestion.</w:t>
      </w:r>
    </w:p>
    <w:p w14:paraId="2A403D43" w14:textId="77777777" w:rsidR="005F2453" w:rsidRDefault="005F2453" w:rsidP="005F2453">
      <w:pPr>
        <w:pStyle w:val="Default"/>
        <w:spacing w:before="120" w:line="276" w:lineRule="auto"/>
        <w:jc w:val="both"/>
        <w:rPr>
          <w:sz w:val="22"/>
          <w:szCs w:val="22"/>
        </w:rPr>
      </w:pPr>
      <w:r>
        <w:rPr>
          <w:sz w:val="22"/>
          <w:szCs w:val="22"/>
        </w:rPr>
        <w:t xml:space="preserve">La collectivité s’engage à réaliser son Rapport Social Unique. </w:t>
      </w:r>
    </w:p>
    <w:p w14:paraId="7D7AFE1D" w14:textId="77777777" w:rsidR="005F2453" w:rsidRDefault="005F2453" w:rsidP="005F2453">
      <w:pPr>
        <w:pStyle w:val="Default"/>
        <w:spacing w:line="276" w:lineRule="auto"/>
        <w:jc w:val="both"/>
        <w:rPr>
          <w:sz w:val="22"/>
          <w:szCs w:val="22"/>
        </w:rPr>
      </w:pPr>
      <w:r>
        <w:rPr>
          <w:sz w:val="22"/>
          <w:szCs w:val="22"/>
        </w:rPr>
        <w:t xml:space="preserve">Le Centre de Gestion pourra être contacté par courriel : </w:t>
      </w:r>
      <w:hyperlink r:id="rId7" w:history="1">
        <w:r>
          <w:rPr>
            <w:rStyle w:val="Lienhypertexte"/>
            <w:sz w:val="22"/>
            <w:szCs w:val="22"/>
          </w:rPr>
          <w:t>egalite@cdg17.fr</w:t>
        </w:r>
      </w:hyperlink>
      <w:r>
        <w:rPr>
          <w:sz w:val="22"/>
          <w:szCs w:val="22"/>
        </w:rPr>
        <w:t>.</w:t>
      </w:r>
    </w:p>
    <w:p w14:paraId="7273A960" w14:textId="77777777" w:rsidR="005F2453" w:rsidRDefault="005F2453" w:rsidP="005F2453">
      <w:pPr>
        <w:pStyle w:val="Default"/>
        <w:spacing w:before="360" w:after="120" w:line="276" w:lineRule="auto"/>
        <w:rPr>
          <w:b/>
          <w:bCs/>
          <w:sz w:val="22"/>
          <w:szCs w:val="22"/>
        </w:rPr>
      </w:pPr>
      <w:r>
        <w:rPr>
          <w:b/>
          <w:bCs/>
          <w:sz w:val="22"/>
          <w:szCs w:val="22"/>
        </w:rPr>
        <w:t xml:space="preserve">ARTICLE 3 : </w:t>
      </w:r>
      <w:r>
        <w:rPr>
          <w:b/>
          <w:bCs/>
          <w:i/>
          <w:sz w:val="22"/>
          <w:szCs w:val="22"/>
        </w:rPr>
        <w:t>Responsabilités</w:t>
      </w:r>
    </w:p>
    <w:p w14:paraId="5A35B80B" w14:textId="77777777" w:rsidR="005F2453" w:rsidRDefault="005F2453" w:rsidP="005F2453">
      <w:pPr>
        <w:pStyle w:val="Default"/>
        <w:spacing w:line="276" w:lineRule="auto"/>
        <w:jc w:val="both"/>
        <w:rPr>
          <w:sz w:val="22"/>
          <w:szCs w:val="22"/>
        </w:rPr>
      </w:pPr>
      <w:r>
        <w:rPr>
          <w:sz w:val="22"/>
          <w:szCs w:val="22"/>
        </w:rPr>
        <w:t xml:space="preserve">La collectivité reste, dans le cadre de ses prérogatives légales, totalement responsable des décisions concernant les </w:t>
      </w:r>
      <w:r>
        <w:rPr>
          <w:color w:val="000000" w:themeColor="text1"/>
          <w:sz w:val="22"/>
          <w:szCs w:val="22"/>
        </w:rPr>
        <w:t xml:space="preserve">règles définies par elle en matière de gestion de la carrière de ses agents et la situation administrative de son personnel. </w:t>
      </w:r>
    </w:p>
    <w:p w14:paraId="59E254B0" w14:textId="77777777" w:rsidR="005F2453" w:rsidRDefault="005F2453" w:rsidP="005F2453">
      <w:pPr>
        <w:pStyle w:val="Default"/>
        <w:spacing w:before="360" w:after="120" w:line="276" w:lineRule="auto"/>
        <w:jc w:val="both"/>
        <w:rPr>
          <w:sz w:val="22"/>
          <w:szCs w:val="22"/>
        </w:rPr>
      </w:pPr>
      <w:r>
        <w:rPr>
          <w:b/>
          <w:bCs/>
          <w:sz w:val="22"/>
          <w:szCs w:val="22"/>
        </w:rPr>
        <w:t xml:space="preserve">ARTICLE 4 : </w:t>
      </w:r>
      <w:r>
        <w:rPr>
          <w:b/>
          <w:bCs/>
          <w:i/>
          <w:iCs/>
          <w:sz w:val="22"/>
          <w:szCs w:val="22"/>
        </w:rPr>
        <w:t xml:space="preserve">Contribution financière </w:t>
      </w:r>
    </w:p>
    <w:p w14:paraId="5AD7C3D8" w14:textId="77777777" w:rsidR="005F2453" w:rsidRDefault="005F2453" w:rsidP="005F2453">
      <w:pPr>
        <w:pStyle w:val="Default"/>
        <w:spacing w:line="276" w:lineRule="auto"/>
        <w:jc w:val="both"/>
        <w:rPr>
          <w:sz w:val="22"/>
          <w:szCs w:val="22"/>
        </w:rPr>
      </w:pPr>
      <w:r>
        <w:rPr>
          <w:sz w:val="22"/>
          <w:szCs w:val="22"/>
        </w:rPr>
        <w:t xml:space="preserve">La collectivité s’engage à régler au Centre de Gestion, à réception du titre de recettes émis par ses services, les frais correspondants à la prestation « Egalité professionnelle », sur la base des tarifs arrêtés chaque année par délibération du Conseil d’Administration du Centre de Gestion de la Charente-Maritime, et en vigueur à la date de réalisation de la prestation. </w:t>
      </w:r>
    </w:p>
    <w:p w14:paraId="2281227E" w14:textId="77777777" w:rsidR="005F2453" w:rsidRDefault="005F2453" w:rsidP="005F2453">
      <w:pPr>
        <w:pStyle w:val="Default"/>
        <w:spacing w:before="60" w:after="60" w:line="276" w:lineRule="auto"/>
        <w:jc w:val="both"/>
        <w:rPr>
          <w:color w:val="000000" w:themeColor="text1"/>
          <w:sz w:val="22"/>
          <w:szCs w:val="22"/>
        </w:rPr>
      </w:pPr>
      <w:r>
        <w:rPr>
          <w:sz w:val="22"/>
          <w:szCs w:val="22"/>
        </w:rPr>
        <w:t xml:space="preserve">La facturation des prestations sera effectuée annuellement et </w:t>
      </w:r>
      <w:r>
        <w:rPr>
          <w:color w:val="000000" w:themeColor="text1"/>
          <w:sz w:val="22"/>
          <w:szCs w:val="22"/>
        </w:rPr>
        <w:t xml:space="preserve">en fin d’année. </w:t>
      </w:r>
    </w:p>
    <w:p w14:paraId="4F14FA43" w14:textId="77777777" w:rsidR="005F2453" w:rsidRDefault="005F2453" w:rsidP="005F2453">
      <w:pPr>
        <w:pStyle w:val="Default"/>
        <w:spacing w:before="60" w:after="60" w:line="276" w:lineRule="auto"/>
        <w:jc w:val="both"/>
        <w:rPr>
          <w:sz w:val="22"/>
          <w:szCs w:val="22"/>
        </w:rPr>
      </w:pPr>
      <w:r>
        <w:rPr>
          <w:sz w:val="22"/>
          <w:szCs w:val="22"/>
        </w:rPr>
        <w:t>Pour l’année 2022, les tarifs sont fixés comme suit :</w:t>
      </w:r>
    </w:p>
    <w:p w14:paraId="72D1C8E8" w14:textId="77777777" w:rsidR="005F2453" w:rsidRDefault="005F2453" w:rsidP="005F2453">
      <w:pPr>
        <w:pStyle w:val="Paragraphedeliste"/>
        <w:numPr>
          <w:ilvl w:val="0"/>
          <w:numId w:val="9"/>
        </w:numPr>
        <w:spacing w:after="120"/>
        <w:ind w:left="851"/>
        <w:jc w:val="both"/>
        <w:rPr>
          <w:rFonts w:cs="Arial"/>
          <w:color w:val="000000"/>
          <w:szCs w:val="22"/>
        </w:rPr>
      </w:pPr>
      <w:r>
        <w:rPr>
          <w:rFonts w:cs="Arial"/>
        </w:rPr>
        <w:t>L’outil et une présentation collective de cet outil seront proposés à titre gracieux ;</w:t>
      </w:r>
    </w:p>
    <w:p w14:paraId="7515740C" w14:textId="77777777" w:rsidR="005F2453" w:rsidRDefault="005F2453" w:rsidP="005F2453">
      <w:pPr>
        <w:pStyle w:val="Paragraphedeliste"/>
        <w:numPr>
          <w:ilvl w:val="0"/>
          <w:numId w:val="9"/>
        </w:numPr>
        <w:spacing w:after="120"/>
        <w:ind w:left="851"/>
        <w:jc w:val="both"/>
        <w:rPr>
          <w:rFonts w:cs="Arial"/>
          <w:color w:val="000000"/>
        </w:rPr>
      </w:pPr>
      <w:r>
        <w:rPr>
          <w:rFonts w:cs="Arial"/>
        </w:rPr>
        <w:t>Un accompagnement individualisé sera assuré par les services du Centre de Gestion sur la base d’une tarification horaire de 70 euros si la collectivité souhaite une présentation spécifique ou une aide à la rédaction de son plan d’actions.</w:t>
      </w:r>
    </w:p>
    <w:p w14:paraId="2E61A8E6" w14:textId="77777777" w:rsidR="00EA7DAB" w:rsidRDefault="00EA7DAB" w:rsidP="005F2453">
      <w:pPr>
        <w:pStyle w:val="Default"/>
        <w:spacing w:before="360" w:after="120" w:line="276" w:lineRule="auto"/>
        <w:jc w:val="both"/>
        <w:rPr>
          <w:b/>
          <w:bCs/>
          <w:sz w:val="22"/>
          <w:szCs w:val="22"/>
        </w:rPr>
      </w:pPr>
    </w:p>
    <w:p w14:paraId="5311F5A8" w14:textId="3BF12D3F" w:rsidR="005F2453" w:rsidRDefault="005F2453" w:rsidP="005F2453">
      <w:pPr>
        <w:pStyle w:val="Default"/>
        <w:spacing w:before="360" w:after="120" w:line="276" w:lineRule="auto"/>
        <w:jc w:val="both"/>
        <w:rPr>
          <w:b/>
          <w:bCs/>
          <w:i/>
          <w:iCs/>
          <w:sz w:val="22"/>
          <w:szCs w:val="22"/>
        </w:rPr>
      </w:pPr>
      <w:r>
        <w:rPr>
          <w:b/>
          <w:bCs/>
          <w:sz w:val="22"/>
          <w:szCs w:val="22"/>
        </w:rPr>
        <w:lastRenderedPageBreak/>
        <w:t xml:space="preserve">ARTICLE 5 : </w:t>
      </w:r>
      <w:r>
        <w:rPr>
          <w:b/>
          <w:bCs/>
          <w:i/>
          <w:iCs/>
          <w:sz w:val="22"/>
          <w:szCs w:val="22"/>
        </w:rPr>
        <w:t xml:space="preserve">Protection des données </w:t>
      </w:r>
    </w:p>
    <w:p w14:paraId="730A0D43" w14:textId="77777777" w:rsidR="005F2453" w:rsidRDefault="005F2453" w:rsidP="005F2453">
      <w:pPr>
        <w:pStyle w:val="Default"/>
        <w:spacing w:line="276" w:lineRule="auto"/>
        <w:jc w:val="both"/>
        <w:rPr>
          <w:sz w:val="22"/>
          <w:szCs w:val="22"/>
        </w:rPr>
      </w:pPr>
      <w:r>
        <w:rPr>
          <w:sz w:val="22"/>
          <w:szCs w:val="22"/>
        </w:rPr>
        <w:t>Dans un souci de respect de la confidentialité des données personnelles transmises, le Centre de Gestion s’efforce de garantir au mieux la sécurité des échanges avec les collectivités.</w:t>
      </w:r>
    </w:p>
    <w:p w14:paraId="63ABBE5F" w14:textId="77777777" w:rsidR="005F2453" w:rsidRDefault="005F2453" w:rsidP="005F2453">
      <w:pPr>
        <w:pStyle w:val="Default"/>
        <w:spacing w:line="276" w:lineRule="auto"/>
        <w:jc w:val="both"/>
        <w:rPr>
          <w:sz w:val="22"/>
          <w:szCs w:val="22"/>
        </w:rPr>
      </w:pPr>
      <w:r>
        <w:rPr>
          <w:sz w:val="22"/>
          <w:szCs w:val="22"/>
        </w:rPr>
        <w:t>Le Centre de Gestion s’engage également à traiter les données uniquement pour la ou les seule(s) finalité(s) qui fait/font l’objet de la présente convention.</w:t>
      </w:r>
    </w:p>
    <w:p w14:paraId="4EB3263E" w14:textId="77777777" w:rsidR="005F2453" w:rsidRDefault="005F2453" w:rsidP="005F2453">
      <w:pPr>
        <w:pStyle w:val="Default"/>
        <w:spacing w:line="276" w:lineRule="auto"/>
        <w:jc w:val="both"/>
        <w:rPr>
          <w:sz w:val="22"/>
          <w:szCs w:val="22"/>
        </w:rPr>
      </w:pPr>
      <w:r>
        <w:rPr>
          <w:sz w:val="22"/>
          <w:szCs w:val="22"/>
        </w:rPr>
        <w:t>Le Centre de Gestion traite ces données dans un cadre légitime répondant aux nouvelles exigences de la loi, et ne les utilisera que pour répondre à ces finalités.</w:t>
      </w:r>
    </w:p>
    <w:p w14:paraId="49CEE94C" w14:textId="77777777" w:rsidR="005F2453" w:rsidRDefault="005F2453" w:rsidP="005F2453">
      <w:pPr>
        <w:pStyle w:val="Default"/>
        <w:spacing w:before="360" w:after="120" w:line="276" w:lineRule="auto"/>
        <w:jc w:val="both"/>
        <w:rPr>
          <w:b/>
          <w:bCs/>
          <w:i/>
          <w:iCs/>
          <w:sz w:val="22"/>
          <w:szCs w:val="22"/>
        </w:rPr>
      </w:pPr>
      <w:r>
        <w:rPr>
          <w:b/>
          <w:bCs/>
          <w:sz w:val="22"/>
          <w:szCs w:val="22"/>
        </w:rPr>
        <w:t xml:space="preserve">ARTICLE 6 : </w:t>
      </w:r>
      <w:r>
        <w:rPr>
          <w:b/>
          <w:bCs/>
          <w:i/>
          <w:iCs/>
          <w:sz w:val="22"/>
          <w:szCs w:val="22"/>
        </w:rPr>
        <w:t>Durée de la convention et résiliation</w:t>
      </w:r>
    </w:p>
    <w:p w14:paraId="21D8DB1C" w14:textId="77777777" w:rsidR="005F2453" w:rsidRDefault="005F2453" w:rsidP="005F2453">
      <w:pPr>
        <w:pStyle w:val="Default"/>
        <w:spacing w:line="276" w:lineRule="auto"/>
        <w:jc w:val="both"/>
        <w:rPr>
          <w:color w:val="auto"/>
          <w:sz w:val="22"/>
          <w:szCs w:val="22"/>
        </w:rPr>
      </w:pPr>
      <w:r>
        <w:rPr>
          <w:color w:val="auto"/>
          <w:sz w:val="22"/>
          <w:szCs w:val="22"/>
        </w:rPr>
        <w:t>La présente convention prend effet à compter du ………………….2022 et est établie pour une durée d’un an, renouvelable chaque année, par reconduction tacite pour la même durée,</w:t>
      </w:r>
      <w:r>
        <w:rPr>
          <w:color w:val="000000" w:themeColor="text1"/>
          <w:sz w:val="22"/>
          <w:szCs w:val="22"/>
        </w:rPr>
        <w:t xml:space="preserve"> dans la limite de 3 ans</w:t>
      </w:r>
      <w:r>
        <w:rPr>
          <w:color w:val="auto"/>
          <w:sz w:val="22"/>
          <w:szCs w:val="22"/>
        </w:rPr>
        <w:t>.</w:t>
      </w:r>
    </w:p>
    <w:p w14:paraId="175A7420" w14:textId="77777777" w:rsidR="005F2453" w:rsidRDefault="005F2453" w:rsidP="005F2453">
      <w:pPr>
        <w:pStyle w:val="Default"/>
        <w:spacing w:before="120" w:after="120" w:line="276" w:lineRule="auto"/>
        <w:jc w:val="both"/>
        <w:rPr>
          <w:sz w:val="22"/>
          <w:szCs w:val="22"/>
        </w:rPr>
      </w:pPr>
      <w:r>
        <w:rPr>
          <w:sz w:val="22"/>
          <w:szCs w:val="22"/>
        </w:rPr>
        <w:t xml:space="preserve">Elle pourra être résiliée à chaque échéance annuelle par l’une des parties signataires sous réserve d’un préavis de trois mois, par lettre recommandée avec accusé de réception avec date d’effet au 31 décembre de l’année en cours. </w:t>
      </w:r>
    </w:p>
    <w:p w14:paraId="0425B6E3" w14:textId="77777777" w:rsidR="005F2453" w:rsidRDefault="005F2453" w:rsidP="005F2453">
      <w:pPr>
        <w:pStyle w:val="Default"/>
        <w:spacing w:line="276" w:lineRule="auto"/>
        <w:jc w:val="both"/>
        <w:rPr>
          <w:sz w:val="22"/>
          <w:szCs w:val="22"/>
        </w:rPr>
      </w:pPr>
      <w:r>
        <w:rPr>
          <w:sz w:val="22"/>
          <w:szCs w:val="22"/>
        </w:rPr>
        <w:t>En cas de non-respect avéré de l’une de ses dispositions, la présente convention pourra être résiliée avant son terme par l’une des parties signataires, sous réserve du préavis mentionné précédemment.</w:t>
      </w:r>
    </w:p>
    <w:p w14:paraId="35E5CBFA" w14:textId="77777777" w:rsidR="005F2453" w:rsidRDefault="005F2453" w:rsidP="005F2453">
      <w:pPr>
        <w:pStyle w:val="Default"/>
        <w:spacing w:before="360" w:after="120" w:line="276" w:lineRule="auto"/>
        <w:jc w:val="both"/>
        <w:rPr>
          <w:sz w:val="22"/>
          <w:szCs w:val="22"/>
        </w:rPr>
      </w:pPr>
      <w:r>
        <w:rPr>
          <w:b/>
          <w:bCs/>
          <w:sz w:val="22"/>
          <w:szCs w:val="22"/>
        </w:rPr>
        <w:t xml:space="preserve">ARTICLE 7 : </w:t>
      </w:r>
      <w:r>
        <w:rPr>
          <w:b/>
          <w:bCs/>
          <w:i/>
          <w:iCs/>
          <w:sz w:val="22"/>
          <w:szCs w:val="22"/>
        </w:rPr>
        <w:t xml:space="preserve">Juridiction compétente </w:t>
      </w:r>
    </w:p>
    <w:p w14:paraId="4BCF016C" w14:textId="77777777" w:rsidR="005F2453" w:rsidRDefault="005F2453" w:rsidP="005F2453">
      <w:pPr>
        <w:pStyle w:val="Default"/>
        <w:spacing w:before="120" w:after="120" w:line="276" w:lineRule="auto"/>
        <w:jc w:val="both"/>
        <w:rPr>
          <w:sz w:val="22"/>
          <w:szCs w:val="22"/>
        </w:rPr>
      </w:pPr>
      <w:r>
        <w:rPr>
          <w:sz w:val="22"/>
          <w:szCs w:val="22"/>
        </w:rPr>
        <w:t>Dans l’hypothèse où un différend lié à l’exécution de la présente convention naîtrait entre les parties, ces dernières s’engagent préalablement à tout recours juridictionnel de tenter de régler ce différend à l’amiable.</w:t>
      </w:r>
    </w:p>
    <w:p w14:paraId="5F7670A3" w14:textId="77777777" w:rsidR="005F2453" w:rsidRDefault="005F2453" w:rsidP="005F2453">
      <w:pPr>
        <w:pStyle w:val="Default"/>
        <w:spacing w:before="120" w:after="120" w:line="276" w:lineRule="auto"/>
        <w:jc w:val="both"/>
        <w:rPr>
          <w:sz w:val="22"/>
          <w:szCs w:val="22"/>
        </w:rPr>
      </w:pPr>
      <w:r>
        <w:rPr>
          <w:sz w:val="22"/>
          <w:szCs w:val="22"/>
        </w:rPr>
        <w:t>A défaut d’accord amiable, tous les litiges relatifs à l’exécution de la présente convention relèvent de la compétence du Tribunal Administratif de Poitiers.</w:t>
      </w:r>
    </w:p>
    <w:p w14:paraId="5DCC0656" w14:textId="77777777" w:rsidR="005F2453" w:rsidRDefault="005F2453" w:rsidP="005F2453">
      <w:pPr>
        <w:pStyle w:val="Default"/>
        <w:spacing w:before="120" w:after="120" w:line="276" w:lineRule="auto"/>
        <w:jc w:val="both"/>
        <w:rPr>
          <w:sz w:val="22"/>
          <w:szCs w:val="22"/>
        </w:rPr>
      </w:pPr>
      <w:r>
        <w:rPr>
          <w:sz w:val="22"/>
          <w:szCs w:val="22"/>
        </w:rPr>
        <w:t>Pour l’exécution des présentes et de leurs suites, les parties font élection de domicile en leurs sièges respectifs.</w:t>
      </w:r>
    </w:p>
    <w:p w14:paraId="452E2246" w14:textId="77777777" w:rsidR="005F2453" w:rsidRDefault="005F2453" w:rsidP="005F2453">
      <w:pPr>
        <w:pStyle w:val="Default"/>
        <w:spacing w:line="276" w:lineRule="auto"/>
        <w:jc w:val="both"/>
        <w:rPr>
          <w:sz w:val="22"/>
          <w:szCs w:val="22"/>
        </w:rPr>
      </w:pPr>
      <w:r>
        <w:rPr>
          <w:iCs/>
          <w:sz w:val="22"/>
          <w:szCs w:val="22"/>
        </w:rPr>
        <w:t xml:space="preserve">Fait à La Rochelle, le ……. </w:t>
      </w:r>
    </w:p>
    <w:p w14:paraId="15E5AFC6" w14:textId="77777777" w:rsidR="005F2453" w:rsidRDefault="005F2453" w:rsidP="005F2453">
      <w:pPr>
        <w:pStyle w:val="Default"/>
        <w:spacing w:line="276" w:lineRule="auto"/>
        <w:jc w:val="both"/>
        <w:rPr>
          <w:b/>
          <w:bCs/>
          <w:iCs/>
          <w:sz w:val="22"/>
          <w:szCs w:val="22"/>
        </w:rPr>
      </w:pPr>
    </w:p>
    <w:tbl>
      <w:tblPr>
        <w:tblStyle w:val="Grilledutablea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694"/>
        <w:gridCol w:w="2976"/>
      </w:tblGrid>
      <w:tr w:rsidR="005F2453" w14:paraId="1DF2424A" w14:textId="77777777" w:rsidTr="005F2453">
        <w:tc>
          <w:tcPr>
            <w:tcW w:w="3397" w:type="dxa"/>
          </w:tcPr>
          <w:p w14:paraId="2794F854" w14:textId="77777777" w:rsidR="005F2453" w:rsidRDefault="005F2453">
            <w:pPr>
              <w:pStyle w:val="Default"/>
              <w:spacing w:line="276" w:lineRule="auto"/>
              <w:jc w:val="center"/>
              <w:rPr>
                <w:b/>
                <w:bCs/>
                <w:iCs/>
                <w:sz w:val="22"/>
                <w:szCs w:val="22"/>
              </w:rPr>
            </w:pPr>
            <w:r>
              <w:rPr>
                <w:b/>
                <w:bCs/>
                <w:iCs/>
                <w:sz w:val="22"/>
                <w:szCs w:val="22"/>
              </w:rPr>
              <w:t>Le Président</w:t>
            </w:r>
          </w:p>
          <w:p w14:paraId="1907673D" w14:textId="77777777" w:rsidR="005F2453" w:rsidRDefault="005F2453">
            <w:pPr>
              <w:pStyle w:val="Default"/>
              <w:spacing w:line="276" w:lineRule="auto"/>
              <w:jc w:val="center"/>
              <w:rPr>
                <w:b/>
                <w:bCs/>
                <w:iCs/>
                <w:sz w:val="22"/>
                <w:szCs w:val="22"/>
              </w:rPr>
            </w:pPr>
            <w:r>
              <w:rPr>
                <w:b/>
                <w:bCs/>
                <w:iCs/>
                <w:sz w:val="22"/>
                <w:szCs w:val="22"/>
              </w:rPr>
              <w:t>du Centre de Gestion de la</w:t>
            </w:r>
          </w:p>
          <w:p w14:paraId="4C1055E4" w14:textId="77777777" w:rsidR="005F2453" w:rsidRDefault="005F2453">
            <w:pPr>
              <w:pStyle w:val="Default"/>
              <w:spacing w:line="276" w:lineRule="auto"/>
              <w:jc w:val="center"/>
              <w:rPr>
                <w:b/>
                <w:bCs/>
                <w:iCs/>
                <w:sz w:val="22"/>
                <w:szCs w:val="22"/>
              </w:rPr>
            </w:pPr>
            <w:r>
              <w:rPr>
                <w:b/>
                <w:bCs/>
                <w:iCs/>
                <w:sz w:val="22"/>
                <w:szCs w:val="22"/>
              </w:rPr>
              <w:t>Fonction Publique Territoriale</w:t>
            </w:r>
          </w:p>
          <w:p w14:paraId="29BBF7A7" w14:textId="77777777" w:rsidR="005F2453" w:rsidRDefault="005F2453">
            <w:pPr>
              <w:pStyle w:val="Default"/>
              <w:spacing w:line="276" w:lineRule="auto"/>
              <w:jc w:val="center"/>
              <w:rPr>
                <w:b/>
                <w:bCs/>
                <w:iCs/>
                <w:sz w:val="22"/>
                <w:szCs w:val="22"/>
              </w:rPr>
            </w:pPr>
            <w:r>
              <w:rPr>
                <w:b/>
                <w:bCs/>
                <w:iCs/>
                <w:sz w:val="22"/>
                <w:szCs w:val="22"/>
              </w:rPr>
              <w:t>de la Charente-Maritime</w:t>
            </w:r>
          </w:p>
          <w:p w14:paraId="2B1883C2" w14:textId="77777777" w:rsidR="005F2453" w:rsidRDefault="005F2453">
            <w:pPr>
              <w:pStyle w:val="Default"/>
              <w:spacing w:line="276" w:lineRule="auto"/>
              <w:jc w:val="center"/>
              <w:rPr>
                <w:b/>
                <w:bCs/>
                <w:iCs/>
                <w:sz w:val="22"/>
                <w:szCs w:val="22"/>
              </w:rPr>
            </w:pPr>
          </w:p>
          <w:p w14:paraId="591EF65E" w14:textId="77777777" w:rsidR="00EA7DAB" w:rsidRDefault="00EA7DAB">
            <w:pPr>
              <w:pStyle w:val="Default"/>
              <w:spacing w:line="276" w:lineRule="auto"/>
              <w:jc w:val="center"/>
              <w:rPr>
                <w:b/>
                <w:bCs/>
                <w:iCs/>
                <w:sz w:val="22"/>
                <w:szCs w:val="22"/>
              </w:rPr>
            </w:pPr>
          </w:p>
          <w:p w14:paraId="6211E1DB" w14:textId="77777777" w:rsidR="005F2453" w:rsidRDefault="005F2453">
            <w:pPr>
              <w:pStyle w:val="Default"/>
              <w:spacing w:line="276" w:lineRule="auto"/>
              <w:jc w:val="center"/>
              <w:rPr>
                <w:b/>
                <w:bCs/>
                <w:iCs/>
                <w:sz w:val="22"/>
                <w:szCs w:val="22"/>
              </w:rPr>
            </w:pPr>
            <w:r>
              <w:rPr>
                <w:b/>
                <w:bCs/>
                <w:iCs/>
                <w:sz w:val="22"/>
                <w:szCs w:val="22"/>
              </w:rPr>
              <w:t>Alexandre GRENOT</w:t>
            </w:r>
          </w:p>
        </w:tc>
        <w:tc>
          <w:tcPr>
            <w:tcW w:w="2694" w:type="dxa"/>
          </w:tcPr>
          <w:p w14:paraId="63128B03" w14:textId="77777777" w:rsidR="005F2453" w:rsidRDefault="005F2453">
            <w:pPr>
              <w:pStyle w:val="Default"/>
              <w:spacing w:line="276" w:lineRule="auto"/>
              <w:jc w:val="center"/>
              <w:rPr>
                <w:b/>
                <w:bCs/>
                <w:iCs/>
                <w:sz w:val="22"/>
                <w:szCs w:val="22"/>
              </w:rPr>
            </w:pPr>
          </w:p>
        </w:tc>
        <w:tc>
          <w:tcPr>
            <w:tcW w:w="2976" w:type="dxa"/>
            <w:hideMark/>
          </w:tcPr>
          <w:p w14:paraId="596BE6FA" w14:textId="77777777" w:rsidR="005F2453" w:rsidRDefault="005F2453">
            <w:pPr>
              <w:pStyle w:val="Default"/>
              <w:spacing w:line="276" w:lineRule="auto"/>
              <w:jc w:val="center"/>
              <w:rPr>
                <w:sz w:val="22"/>
                <w:szCs w:val="22"/>
              </w:rPr>
            </w:pPr>
            <w:r>
              <w:rPr>
                <w:b/>
                <w:bCs/>
                <w:iCs/>
                <w:sz w:val="22"/>
                <w:szCs w:val="22"/>
              </w:rPr>
              <w:t>Le Maire/Président</w:t>
            </w:r>
          </w:p>
          <w:p w14:paraId="1B88EC73" w14:textId="77777777" w:rsidR="005F2453" w:rsidRDefault="005F2453">
            <w:pPr>
              <w:pStyle w:val="Default"/>
              <w:spacing w:line="276" w:lineRule="auto"/>
              <w:jc w:val="center"/>
              <w:rPr>
                <w:sz w:val="22"/>
                <w:szCs w:val="22"/>
              </w:rPr>
            </w:pPr>
            <w:r>
              <w:rPr>
                <w:b/>
                <w:bCs/>
                <w:iCs/>
                <w:sz w:val="22"/>
                <w:szCs w:val="22"/>
              </w:rPr>
              <w:t>de la commune</w:t>
            </w:r>
          </w:p>
          <w:p w14:paraId="6EE3B345" w14:textId="77777777" w:rsidR="005F2453" w:rsidRDefault="005F2453">
            <w:pPr>
              <w:pStyle w:val="Default"/>
              <w:spacing w:line="276" w:lineRule="auto"/>
              <w:jc w:val="center"/>
              <w:rPr>
                <w:sz w:val="22"/>
                <w:szCs w:val="22"/>
              </w:rPr>
            </w:pPr>
            <w:r>
              <w:rPr>
                <w:b/>
                <w:bCs/>
                <w:iCs/>
                <w:sz w:val="22"/>
                <w:szCs w:val="22"/>
              </w:rPr>
              <w:t>de …</w:t>
            </w:r>
          </w:p>
          <w:p w14:paraId="30614073" w14:textId="77777777" w:rsidR="005F2453" w:rsidRDefault="005F2453">
            <w:pPr>
              <w:pStyle w:val="Default"/>
              <w:spacing w:line="276" w:lineRule="auto"/>
              <w:jc w:val="center"/>
              <w:rPr>
                <w:b/>
                <w:bCs/>
                <w:iCs/>
                <w:sz w:val="22"/>
                <w:szCs w:val="22"/>
              </w:rPr>
            </w:pPr>
            <w:r>
              <w:rPr>
                <w:b/>
                <w:bCs/>
                <w:iCs/>
                <w:sz w:val="22"/>
                <w:szCs w:val="22"/>
              </w:rPr>
              <w:t>(ou établissement)</w:t>
            </w:r>
          </w:p>
        </w:tc>
      </w:tr>
    </w:tbl>
    <w:p w14:paraId="71E5C16F" w14:textId="77777777" w:rsidR="005F2453" w:rsidRDefault="005F2453" w:rsidP="00EA7DAB">
      <w:pPr>
        <w:spacing w:line="276" w:lineRule="auto"/>
        <w:rPr>
          <w:rFonts w:eastAsiaTheme="minorHAnsi" w:cs="Arial"/>
          <w:b/>
          <w:i/>
          <w:iCs/>
          <w:color w:val="000000"/>
          <w:szCs w:val="22"/>
          <w:lang w:eastAsia="en-US"/>
        </w:rPr>
      </w:pPr>
    </w:p>
    <w:sectPr w:rsidR="005F245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3C570" w14:textId="77777777" w:rsidR="00C4545E" w:rsidRDefault="00C4545E" w:rsidP="00C4545E">
      <w:r>
        <w:separator/>
      </w:r>
    </w:p>
  </w:endnote>
  <w:endnote w:type="continuationSeparator" w:id="0">
    <w:p w14:paraId="38E4F9F9" w14:textId="77777777" w:rsidR="00C4545E" w:rsidRDefault="00C4545E" w:rsidP="00C4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C1CE" w14:textId="50235F96" w:rsidR="00C4545E" w:rsidRDefault="00C4545E">
    <w:pPr>
      <w:pStyle w:val="Pieddepage"/>
    </w:pPr>
    <w:r w:rsidRPr="006E721C">
      <w:rPr>
        <w:rFonts w:cs="Arial"/>
        <w:b/>
        <w:bCs w:val="0"/>
        <w:noProof/>
        <w:u w:val="single"/>
      </w:rPr>
      <w:drawing>
        <wp:anchor distT="0" distB="0" distL="114300" distR="114300" simplePos="0" relativeHeight="251661312" behindDoc="0" locked="0" layoutInCell="1" allowOverlap="1" wp14:anchorId="00E03624" wp14:editId="354FFE3A">
          <wp:simplePos x="0" y="0"/>
          <wp:positionH relativeFrom="page">
            <wp:align>left</wp:align>
          </wp:positionH>
          <wp:positionV relativeFrom="page">
            <wp:align>bottom</wp:align>
          </wp:positionV>
          <wp:extent cx="7575550" cy="1483995"/>
          <wp:effectExtent l="0" t="0" r="635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550" cy="14839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F457" w14:textId="77777777" w:rsidR="00C4545E" w:rsidRDefault="00C4545E" w:rsidP="00C4545E">
      <w:r>
        <w:separator/>
      </w:r>
    </w:p>
  </w:footnote>
  <w:footnote w:type="continuationSeparator" w:id="0">
    <w:p w14:paraId="1A140ADC" w14:textId="77777777" w:rsidR="00C4545E" w:rsidRDefault="00C4545E" w:rsidP="00C45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0C6F" w14:textId="0639E323" w:rsidR="00C4545E" w:rsidRDefault="00C4545E">
    <w:pPr>
      <w:pStyle w:val="En-tte"/>
    </w:pPr>
    <w:r w:rsidRPr="006E721C">
      <w:rPr>
        <w:rFonts w:cs="Arial"/>
        <w:noProof/>
      </w:rPr>
      <w:drawing>
        <wp:anchor distT="0" distB="0" distL="114300" distR="114300" simplePos="0" relativeHeight="251659264" behindDoc="0" locked="0" layoutInCell="1" allowOverlap="1" wp14:anchorId="75CB67B0" wp14:editId="7787462F">
          <wp:simplePos x="0" y="0"/>
          <wp:positionH relativeFrom="page">
            <wp:align>right</wp:align>
          </wp:positionH>
          <wp:positionV relativeFrom="page">
            <wp:posOffset>9525</wp:posOffset>
          </wp:positionV>
          <wp:extent cx="7576820" cy="1454150"/>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820" cy="1454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440"/>
    <w:multiLevelType w:val="hybridMultilevel"/>
    <w:tmpl w:val="FCD2955E"/>
    <w:lvl w:ilvl="0" w:tplc="CB68D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2640E1"/>
    <w:multiLevelType w:val="hybridMultilevel"/>
    <w:tmpl w:val="81147E30"/>
    <w:lvl w:ilvl="0" w:tplc="08BA2940">
      <w:start w:val="1"/>
      <w:numFmt w:val="bullet"/>
      <w:lvlText w:val=""/>
      <w:lvlJc w:val="left"/>
      <w:pPr>
        <w:ind w:left="2421" w:hanging="360"/>
      </w:pPr>
      <w:rPr>
        <w:rFonts w:ascii="Wingdings 3" w:hAnsi="Wingdings 3" w:hint="default"/>
      </w:rPr>
    </w:lvl>
    <w:lvl w:ilvl="1" w:tplc="040C0003">
      <w:start w:val="1"/>
      <w:numFmt w:val="bullet"/>
      <w:lvlText w:val="o"/>
      <w:lvlJc w:val="left"/>
      <w:pPr>
        <w:ind w:left="3141" w:hanging="360"/>
      </w:pPr>
      <w:rPr>
        <w:rFonts w:ascii="Courier New" w:hAnsi="Courier New" w:cs="Courier New" w:hint="default"/>
      </w:rPr>
    </w:lvl>
    <w:lvl w:ilvl="2" w:tplc="040C0005">
      <w:start w:val="1"/>
      <w:numFmt w:val="bullet"/>
      <w:lvlText w:val=""/>
      <w:lvlJc w:val="left"/>
      <w:pPr>
        <w:ind w:left="3861" w:hanging="360"/>
      </w:pPr>
      <w:rPr>
        <w:rFonts w:ascii="Wingdings" w:hAnsi="Wingdings" w:hint="default"/>
      </w:rPr>
    </w:lvl>
    <w:lvl w:ilvl="3" w:tplc="040C0001">
      <w:start w:val="1"/>
      <w:numFmt w:val="bullet"/>
      <w:lvlText w:val=""/>
      <w:lvlJc w:val="left"/>
      <w:pPr>
        <w:ind w:left="4581" w:hanging="360"/>
      </w:pPr>
      <w:rPr>
        <w:rFonts w:ascii="Symbol" w:hAnsi="Symbol" w:hint="default"/>
      </w:rPr>
    </w:lvl>
    <w:lvl w:ilvl="4" w:tplc="040C0003">
      <w:start w:val="1"/>
      <w:numFmt w:val="bullet"/>
      <w:lvlText w:val="o"/>
      <w:lvlJc w:val="left"/>
      <w:pPr>
        <w:ind w:left="5301" w:hanging="360"/>
      </w:pPr>
      <w:rPr>
        <w:rFonts w:ascii="Courier New" w:hAnsi="Courier New" w:cs="Courier New" w:hint="default"/>
      </w:rPr>
    </w:lvl>
    <w:lvl w:ilvl="5" w:tplc="040C0005">
      <w:start w:val="1"/>
      <w:numFmt w:val="bullet"/>
      <w:lvlText w:val=""/>
      <w:lvlJc w:val="left"/>
      <w:pPr>
        <w:ind w:left="6021" w:hanging="360"/>
      </w:pPr>
      <w:rPr>
        <w:rFonts w:ascii="Wingdings" w:hAnsi="Wingdings" w:hint="default"/>
      </w:rPr>
    </w:lvl>
    <w:lvl w:ilvl="6" w:tplc="040C0001">
      <w:start w:val="1"/>
      <w:numFmt w:val="bullet"/>
      <w:lvlText w:val=""/>
      <w:lvlJc w:val="left"/>
      <w:pPr>
        <w:ind w:left="6741" w:hanging="360"/>
      </w:pPr>
      <w:rPr>
        <w:rFonts w:ascii="Symbol" w:hAnsi="Symbol" w:hint="default"/>
      </w:rPr>
    </w:lvl>
    <w:lvl w:ilvl="7" w:tplc="040C0003">
      <w:start w:val="1"/>
      <w:numFmt w:val="bullet"/>
      <w:lvlText w:val="o"/>
      <w:lvlJc w:val="left"/>
      <w:pPr>
        <w:ind w:left="7461" w:hanging="360"/>
      </w:pPr>
      <w:rPr>
        <w:rFonts w:ascii="Courier New" w:hAnsi="Courier New" w:cs="Courier New" w:hint="default"/>
      </w:rPr>
    </w:lvl>
    <w:lvl w:ilvl="8" w:tplc="040C0005">
      <w:start w:val="1"/>
      <w:numFmt w:val="bullet"/>
      <w:lvlText w:val=""/>
      <w:lvlJc w:val="left"/>
      <w:pPr>
        <w:ind w:left="8181" w:hanging="360"/>
      </w:pPr>
      <w:rPr>
        <w:rFonts w:ascii="Wingdings" w:hAnsi="Wingdings" w:hint="default"/>
      </w:rPr>
    </w:lvl>
  </w:abstractNum>
  <w:abstractNum w:abstractNumId="2" w15:restartNumberingAfterBreak="0">
    <w:nsid w:val="133A48EA"/>
    <w:multiLevelType w:val="hybridMultilevel"/>
    <w:tmpl w:val="E8F23AF6"/>
    <w:lvl w:ilvl="0" w:tplc="F5A2DE06">
      <w:start w:val="1"/>
      <w:numFmt w:val="bullet"/>
      <w:lvlText w:val=""/>
      <w:lvlJc w:val="left"/>
      <w:pPr>
        <w:ind w:left="1428" w:hanging="360"/>
      </w:pPr>
      <w:rPr>
        <w:rFonts w:ascii="Wingdings 3" w:hAnsi="Wingdings 3"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 w15:restartNumberingAfterBreak="0">
    <w:nsid w:val="35E0084D"/>
    <w:multiLevelType w:val="hybridMultilevel"/>
    <w:tmpl w:val="5C242A6C"/>
    <w:lvl w:ilvl="0" w:tplc="F5A2DE06">
      <w:start w:val="1"/>
      <w:numFmt w:val="bullet"/>
      <w:lvlText w:val=""/>
      <w:lvlJc w:val="left"/>
      <w:pPr>
        <w:ind w:left="1428" w:hanging="360"/>
      </w:pPr>
      <w:rPr>
        <w:rFonts w:ascii="Wingdings 3" w:hAnsi="Wingdings 3"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15:restartNumberingAfterBreak="0">
    <w:nsid w:val="6C787E6D"/>
    <w:multiLevelType w:val="hybridMultilevel"/>
    <w:tmpl w:val="C20A8F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E75307C"/>
    <w:multiLevelType w:val="hybridMultilevel"/>
    <w:tmpl w:val="884AE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36644001">
    <w:abstractNumId w:val="4"/>
  </w:num>
  <w:num w:numId="2" w16cid:durableId="1364094525">
    <w:abstractNumId w:val="5"/>
  </w:num>
  <w:num w:numId="3" w16cid:durableId="2018922059">
    <w:abstractNumId w:val="0"/>
  </w:num>
  <w:num w:numId="4" w16cid:durableId="2133596309">
    <w:abstractNumId w:val="3"/>
  </w:num>
  <w:num w:numId="5" w16cid:durableId="1241450053">
    <w:abstractNumId w:val="2"/>
  </w:num>
  <w:num w:numId="6" w16cid:durableId="812870017">
    <w:abstractNumId w:val="1"/>
  </w:num>
  <w:num w:numId="7" w16cid:durableId="904412806">
    <w:abstractNumId w:val="1"/>
  </w:num>
  <w:num w:numId="8" w16cid:durableId="598411981">
    <w:abstractNumId w:val="3"/>
  </w:num>
  <w:num w:numId="9" w16cid:durableId="482743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79"/>
    <w:rsid w:val="00047C73"/>
    <w:rsid w:val="000672C4"/>
    <w:rsid w:val="000F18F4"/>
    <w:rsid w:val="00111679"/>
    <w:rsid w:val="00152B87"/>
    <w:rsid w:val="001B20B3"/>
    <w:rsid w:val="001B56FC"/>
    <w:rsid w:val="001D73F7"/>
    <w:rsid w:val="001F1D20"/>
    <w:rsid w:val="00224F02"/>
    <w:rsid w:val="00255DD1"/>
    <w:rsid w:val="00285EB7"/>
    <w:rsid w:val="003003CA"/>
    <w:rsid w:val="003404B6"/>
    <w:rsid w:val="00352FD5"/>
    <w:rsid w:val="003E305B"/>
    <w:rsid w:val="0048411E"/>
    <w:rsid w:val="005046E8"/>
    <w:rsid w:val="00521BFD"/>
    <w:rsid w:val="005511DC"/>
    <w:rsid w:val="0056167A"/>
    <w:rsid w:val="005B481C"/>
    <w:rsid w:val="005F2453"/>
    <w:rsid w:val="00607FDF"/>
    <w:rsid w:val="00612F23"/>
    <w:rsid w:val="00621338"/>
    <w:rsid w:val="00627788"/>
    <w:rsid w:val="006D0CB3"/>
    <w:rsid w:val="00701F37"/>
    <w:rsid w:val="007B0E4C"/>
    <w:rsid w:val="008059B0"/>
    <w:rsid w:val="00921FBF"/>
    <w:rsid w:val="00967709"/>
    <w:rsid w:val="009946CD"/>
    <w:rsid w:val="00A43327"/>
    <w:rsid w:val="00A628BC"/>
    <w:rsid w:val="00AE4EE0"/>
    <w:rsid w:val="00B253A4"/>
    <w:rsid w:val="00B81C9A"/>
    <w:rsid w:val="00BB4013"/>
    <w:rsid w:val="00C4545E"/>
    <w:rsid w:val="00C648AD"/>
    <w:rsid w:val="00CA4BAA"/>
    <w:rsid w:val="00CC79E2"/>
    <w:rsid w:val="00DF2519"/>
    <w:rsid w:val="00E70BF2"/>
    <w:rsid w:val="00EA7DAB"/>
    <w:rsid w:val="00FC3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FA0E03"/>
  <w15:chartTrackingRefBased/>
  <w15:docId w15:val="{2BE54FA6-1657-4C14-86E2-1AE6EBDA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BAA"/>
    <w:pPr>
      <w:spacing w:after="0" w:line="240" w:lineRule="auto"/>
    </w:pPr>
    <w:rPr>
      <w:rFonts w:ascii="Arial" w:eastAsia="Times New Roman" w:hAnsi="Arial" w:cs="Times New Roman"/>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21BFD"/>
    <w:rPr>
      <w:color w:val="0563C1" w:themeColor="hyperlink"/>
      <w:u w:val="single"/>
    </w:rPr>
  </w:style>
  <w:style w:type="character" w:styleId="Mentionnonrsolue">
    <w:name w:val="Unresolved Mention"/>
    <w:basedOn w:val="Policepardfaut"/>
    <w:uiPriority w:val="99"/>
    <w:semiHidden/>
    <w:unhideWhenUsed/>
    <w:rsid w:val="00521BFD"/>
    <w:rPr>
      <w:color w:val="605E5C"/>
      <w:shd w:val="clear" w:color="auto" w:fill="E1DFDD"/>
    </w:rPr>
  </w:style>
  <w:style w:type="paragraph" w:styleId="Paragraphedeliste">
    <w:name w:val="List Paragraph"/>
    <w:basedOn w:val="Normal"/>
    <w:uiPriority w:val="34"/>
    <w:qFormat/>
    <w:rsid w:val="005046E8"/>
    <w:pPr>
      <w:ind w:left="720"/>
      <w:contextualSpacing/>
    </w:pPr>
  </w:style>
  <w:style w:type="character" w:styleId="Marquedecommentaire">
    <w:name w:val="annotation reference"/>
    <w:basedOn w:val="Policepardfaut"/>
    <w:uiPriority w:val="99"/>
    <w:semiHidden/>
    <w:unhideWhenUsed/>
    <w:rsid w:val="003003CA"/>
    <w:rPr>
      <w:sz w:val="16"/>
      <w:szCs w:val="16"/>
    </w:rPr>
  </w:style>
  <w:style w:type="paragraph" w:styleId="Commentaire">
    <w:name w:val="annotation text"/>
    <w:basedOn w:val="Normal"/>
    <w:link w:val="CommentaireCar"/>
    <w:uiPriority w:val="99"/>
    <w:unhideWhenUsed/>
    <w:rsid w:val="003003CA"/>
    <w:rPr>
      <w:sz w:val="20"/>
      <w:szCs w:val="20"/>
    </w:rPr>
  </w:style>
  <w:style w:type="character" w:customStyle="1" w:styleId="CommentaireCar">
    <w:name w:val="Commentaire Car"/>
    <w:basedOn w:val="Policepardfaut"/>
    <w:link w:val="Commentaire"/>
    <w:uiPriority w:val="99"/>
    <w:rsid w:val="003003CA"/>
    <w:rPr>
      <w:sz w:val="20"/>
      <w:szCs w:val="20"/>
    </w:rPr>
  </w:style>
  <w:style w:type="paragraph" w:styleId="Objetducommentaire">
    <w:name w:val="annotation subject"/>
    <w:basedOn w:val="Commentaire"/>
    <w:next w:val="Commentaire"/>
    <w:link w:val="ObjetducommentaireCar"/>
    <w:uiPriority w:val="99"/>
    <w:semiHidden/>
    <w:unhideWhenUsed/>
    <w:rsid w:val="003003CA"/>
    <w:rPr>
      <w:b/>
      <w:bCs w:val="0"/>
    </w:rPr>
  </w:style>
  <w:style w:type="character" w:customStyle="1" w:styleId="ObjetducommentaireCar">
    <w:name w:val="Objet du commentaire Car"/>
    <w:basedOn w:val="CommentaireCar"/>
    <w:link w:val="Objetducommentaire"/>
    <w:uiPriority w:val="99"/>
    <w:semiHidden/>
    <w:rsid w:val="003003CA"/>
    <w:rPr>
      <w:b/>
      <w:bCs/>
      <w:sz w:val="20"/>
      <w:szCs w:val="20"/>
    </w:rPr>
  </w:style>
  <w:style w:type="paragraph" w:styleId="En-tte">
    <w:name w:val="header"/>
    <w:basedOn w:val="Normal"/>
    <w:link w:val="En-tteCar"/>
    <w:uiPriority w:val="99"/>
    <w:unhideWhenUsed/>
    <w:rsid w:val="00C4545E"/>
    <w:pPr>
      <w:tabs>
        <w:tab w:val="center" w:pos="4536"/>
        <w:tab w:val="right" w:pos="9072"/>
      </w:tabs>
    </w:pPr>
  </w:style>
  <w:style w:type="character" w:customStyle="1" w:styleId="En-tteCar">
    <w:name w:val="En-tête Car"/>
    <w:basedOn w:val="Policepardfaut"/>
    <w:link w:val="En-tte"/>
    <w:uiPriority w:val="99"/>
    <w:rsid w:val="00C4545E"/>
  </w:style>
  <w:style w:type="paragraph" w:styleId="Pieddepage">
    <w:name w:val="footer"/>
    <w:basedOn w:val="Normal"/>
    <w:link w:val="PieddepageCar"/>
    <w:uiPriority w:val="99"/>
    <w:unhideWhenUsed/>
    <w:rsid w:val="00C4545E"/>
    <w:pPr>
      <w:tabs>
        <w:tab w:val="center" w:pos="4536"/>
        <w:tab w:val="right" w:pos="9072"/>
      </w:tabs>
    </w:pPr>
  </w:style>
  <w:style w:type="character" w:customStyle="1" w:styleId="PieddepageCar">
    <w:name w:val="Pied de page Car"/>
    <w:basedOn w:val="Policepardfaut"/>
    <w:link w:val="Pieddepage"/>
    <w:uiPriority w:val="99"/>
    <w:rsid w:val="00C4545E"/>
  </w:style>
  <w:style w:type="paragraph" w:customStyle="1" w:styleId="Default">
    <w:name w:val="Default"/>
    <w:rsid w:val="00CA4BAA"/>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CA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CA4BAA"/>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4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eec@cdg17.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PARLANT</dc:creator>
  <cp:keywords/>
  <dc:description/>
  <cp:lastModifiedBy>Aurélien MARTIN</cp:lastModifiedBy>
  <cp:revision>7</cp:revision>
  <dcterms:created xsi:type="dcterms:W3CDTF">2022-05-23T12:14:00Z</dcterms:created>
  <dcterms:modified xsi:type="dcterms:W3CDTF">2022-06-24T08:32:00Z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1182130271</vt:i4>
  </property>
  <property fmtid="{D5CDD505-2E9C-101B-9397-08002B2CF9AE}" pid="3" name="_NewReviewCycle">
    <vt:lpwstr/>
  </property>
  <property fmtid="{D5CDD505-2E9C-101B-9397-08002B2CF9AE}" pid="4" name="_EmailSubject">
    <vt:lpwstr>Mission d'Assistance à l'action administrative</vt:lpwstr>
  </property>
  <property fmtid="{D5CDD505-2E9C-101B-9397-08002B2CF9AE}" pid="5" name="_AuthorEmail">
    <vt:lpwstr>sidonie.sene@cdg17.fr</vt:lpwstr>
  </property>
  <property fmtid="{D5CDD505-2E9C-101B-9397-08002B2CF9AE}" pid="6" name="_AuthorEmailDisplayName">
    <vt:lpwstr>SIDONIE Sene</vt:lpwstr>
  </property>
  <property fmtid="{D5CDD505-2E9C-101B-9397-08002B2CF9AE}" pid="7" name="_ReviewingToolsShownOnce">
    <vt:lpwstr/>
  </property>
</Properties>
</file>