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38C45D" w14:textId="77777777" w:rsidR="00630075" w:rsidRPr="006E721C" w:rsidRDefault="00630075" w:rsidP="00630075">
      <w:pPr>
        <w:rPr>
          <w:rFonts w:ascii="Arial" w:hAnsi="Arial" w:cs="Arial"/>
        </w:rPr>
      </w:pPr>
      <w:r w:rsidRPr="006E721C">
        <w:rPr>
          <w:rFonts w:ascii="Arial" w:hAnsi="Arial" w:cs="Arial"/>
          <w:noProof/>
        </w:rPr>
        <w:drawing>
          <wp:anchor distT="0" distB="0" distL="114300" distR="114300" simplePos="0" relativeHeight="251659264" behindDoc="0" locked="0" layoutInCell="1" allowOverlap="1" wp14:anchorId="5A53AE52" wp14:editId="575369BD">
            <wp:simplePos x="0" y="0"/>
            <wp:positionH relativeFrom="page">
              <wp:align>left</wp:align>
            </wp:positionH>
            <wp:positionV relativeFrom="margin">
              <wp:posOffset>-895350</wp:posOffset>
            </wp:positionV>
            <wp:extent cx="7576820" cy="1454150"/>
            <wp:effectExtent l="0" t="0" r="508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89896" cy="1456571"/>
                    </a:xfrm>
                    <a:prstGeom prst="rect">
                      <a:avLst/>
                    </a:prstGeom>
                  </pic:spPr>
                </pic:pic>
              </a:graphicData>
            </a:graphic>
            <wp14:sizeRelH relativeFrom="margin">
              <wp14:pctWidth>0</wp14:pctWidth>
            </wp14:sizeRelH>
            <wp14:sizeRelV relativeFrom="margin">
              <wp14:pctHeight>0</wp14:pctHeight>
            </wp14:sizeRelV>
          </wp:anchor>
        </w:drawing>
      </w:r>
    </w:p>
    <w:p w14:paraId="01D1DCF6" w14:textId="484030CC" w:rsidR="00630075" w:rsidRPr="00B71987" w:rsidRDefault="00630075" w:rsidP="00630075">
      <w:pPr>
        <w:jc w:val="center"/>
        <w:rPr>
          <w:rFonts w:ascii="Arial" w:hAnsi="Arial" w:cs="Arial"/>
          <w:b/>
          <w:bCs/>
        </w:rPr>
      </w:pPr>
      <w:r>
        <w:rPr>
          <w:rFonts w:ascii="Arial" w:hAnsi="Arial" w:cs="Arial"/>
          <w:b/>
          <w:bCs/>
        </w:rPr>
        <w:t xml:space="preserve">ADHESION A LA MISSION DE MEDIATION PREALABLE OBLIGATOIRE </w:t>
      </w:r>
      <w:r>
        <w:rPr>
          <w:rFonts w:ascii="Arial" w:hAnsi="Arial" w:cs="Arial"/>
          <w:b/>
          <w:bCs/>
        </w:rPr>
        <w:br/>
        <w:t>PROPOSEE PAR LE CENTRE DE GESTION DE LA CHARENTE-MARITIME</w:t>
      </w:r>
    </w:p>
    <w:p w14:paraId="6B166D2E" w14:textId="77777777" w:rsidR="00630075" w:rsidRDefault="00630075" w:rsidP="00630075">
      <w:pPr>
        <w:rPr>
          <w:rFonts w:ascii="Arial" w:hAnsi="Arial" w:cs="Arial"/>
        </w:rPr>
      </w:pPr>
    </w:p>
    <w:p w14:paraId="5AFDC482" w14:textId="365BC393" w:rsidR="002C20B0" w:rsidRPr="002B49EC" w:rsidRDefault="00630075" w:rsidP="000C22D7">
      <w:pPr>
        <w:rPr>
          <w:rFonts w:ascii="Arial" w:hAnsi="Arial" w:cs="Arial"/>
          <w:kern w:val="28"/>
        </w:rPr>
      </w:pPr>
      <w:r>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360C4B5B" wp14:editId="10B3B7C8">
                <wp:simplePos x="0" y="0"/>
                <wp:positionH relativeFrom="page">
                  <wp:posOffset>607695</wp:posOffset>
                </wp:positionH>
                <wp:positionV relativeFrom="page">
                  <wp:posOffset>2011680</wp:posOffset>
                </wp:positionV>
                <wp:extent cx="6564630" cy="387350"/>
                <wp:effectExtent l="0" t="0" r="7620" b="0"/>
                <wp:wrapThrough wrapText="bothSides">
                  <wp:wrapPolygon edited="0">
                    <wp:start x="0" y="0"/>
                    <wp:lineTo x="0" y="20184"/>
                    <wp:lineTo x="21562" y="20184"/>
                    <wp:lineTo x="21562" y="0"/>
                    <wp:lineTo x="0" y="0"/>
                  </wp:wrapPolygon>
                </wp:wrapThrough>
                <wp:docPr id="9" name="Zone de texte 9"/>
                <wp:cNvGraphicFramePr/>
                <a:graphic xmlns:a="http://schemas.openxmlformats.org/drawingml/2006/main">
                  <a:graphicData uri="http://schemas.microsoft.com/office/word/2010/wordprocessingShape">
                    <wps:wsp>
                      <wps:cNvSpPr txBox="1"/>
                      <wps:spPr>
                        <a:xfrm>
                          <a:off x="0" y="0"/>
                          <a:ext cx="6564630" cy="387350"/>
                        </a:xfrm>
                        <a:prstGeom prst="rect">
                          <a:avLst/>
                        </a:prstGeom>
                        <a:solidFill>
                          <a:srgbClr val="00478A"/>
                        </a:solidFill>
                        <a:ln>
                          <a:noFill/>
                        </a:ln>
                        <a:effectLst/>
                        <a:extLst>
                          <a:ext uri="{C572A759-6A51-4108-AA02-DFA0A04FC94B}">
                            <ma14:wrappingTextBoxFlag xmlns:lc="http://schemas.openxmlformats.org/drawingml/2006/lockedCanvas"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val="1"/>
                          </a:ext>
                        </a:extLst>
                      </wps:spPr>
                      <wps:style>
                        <a:lnRef idx="0">
                          <a:schemeClr val="accent1"/>
                        </a:lnRef>
                        <a:fillRef idx="0">
                          <a:schemeClr val="accent1"/>
                        </a:fillRef>
                        <a:effectRef idx="0">
                          <a:schemeClr val="accent1"/>
                        </a:effectRef>
                        <a:fontRef idx="minor">
                          <a:schemeClr val="dk1"/>
                        </a:fontRef>
                      </wps:style>
                      <wps:txbx>
                        <w:txbxContent>
                          <w:p w14:paraId="23C4F4D4" w14:textId="06CAC41C" w:rsidR="00630075" w:rsidRDefault="00630075" w:rsidP="00630075">
                            <w:pPr>
                              <w:pStyle w:val="Paragraphestandard"/>
                              <w:jc w:val="center"/>
                              <w:rPr>
                                <w:rFonts w:ascii="Arial" w:hAnsi="Arial" w:cs="Arial"/>
                                <w:b/>
                                <w:color w:val="FFFFFF" w:themeColor="background1"/>
                                <w:sz w:val="40"/>
                                <w:szCs w:val="40"/>
                              </w:rPr>
                            </w:pPr>
                            <w:r>
                              <w:rPr>
                                <w:rFonts w:ascii="Arial" w:hAnsi="Arial" w:cs="Arial"/>
                                <w:b/>
                                <w:color w:val="FFFFFF" w:themeColor="background1"/>
                                <w:sz w:val="40"/>
                                <w:szCs w:val="40"/>
                              </w:rPr>
                              <w:t>Modèle de délibération</w:t>
                            </w:r>
                          </w:p>
                          <w:p w14:paraId="55F12F4C" w14:textId="77777777" w:rsidR="00630075" w:rsidRDefault="00630075" w:rsidP="00630075">
                            <w:pPr>
                              <w:rPr>
                                <w:color w:val="FFFFFF" w:themeColor="background1"/>
                              </w:rPr>
                            </w:pP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w14:anchorId="360C4B5B" id="_x0000_t202" coordsize="21600,21600" o:spt="202" path="m,l,21600r21600,l21600,xe">
                <v:stroke joinstyle="miter"/>
                <v:path gradientshapeok="t" o:connecttype="rect"/>
              </v:shapetype>
              <v:shape id="Zone de texte 9" o:spid="_x0000_s1026" type="#_x0000_t202" style="position:absolute;margin-left:47.85pt;margin-top:158.4pt;width:516.9pt;height: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" fillcolor="#00478a" stroked="f">
                <v:textbox>
                  <w:txbxContent>
                    <w:p w14:paraId="23C4F4D4" w14:textId="06CAC41C" w:rsidR="00630075" w:rsidRDefault="00630075" w:rsidP="00630075">
                      <w:pPr>
                        <w:pStyle w:val="Paragraphestandard"/>
                        <w:jc w:val="center"/>
                        <w:rPr>
                          <w:rFonts w:ascii="Arial" w:hAnsi="Arial" w:cs="Arial"/>
                          <w:b/>
                          <w:color w:val="FFFFFF" w:themeColor="background1"/>
                          <w:sz w:val="40"/>
                          <w:szCs w:val="40"/>
                        </w:rPr>
                      </w:pPr>
                      <w:r>
                        <w:rPr>
                          <w:rFonts w:ascii="Arial" w:hAnsi="Arial" w:cs="Arial"/>
                          <w:b/>
                          <w:color w:val="FFFFFF" w:themeColor="background1"/>
                          <w:sz w:val="40"/>
                          <w:szCs w:val="40"/>
                        </w:rPr>
                        <w:t>Modèle de délibération</w:t>
                      </w:r>
                    </w:p>
                    <w:p w14:paraId="55F12F4C" w14:textId="77777777" w:rsidR="00630075" w:rsidRDefault="00630075" w:rsidP="00630075">
                      <w:pPr>
                        <w:rPr>
                          <w:color w:val="FFFFFF" w:themeColor="background1"/>
                        </w:rPr>
                      </w:pPr>
                    </w:p>
                  </w:txbxContent>
                </v:textbox>
                <w10:wrap type="through" anchorx="page" anchory="page"/>
              </v:shape>
            </w:pict>
          </mc:Fallback>
        </mc:AlternateContent>
      </w:r>
      <w:r w:rsidRPr="006E721C">
        <w:rPr>
          <w:rFonts w:ascii="Arial" w:hAnsi="Arial" w:cs="Arial"/>
          <w:b/>
          <w:bCs/>
          <w:noProof/>
          <w:u w:val="single"/>
        </w:rPr>
        <w:drawing>
          <wp:anchor distT="0" distB="0" distL="114300" distR="114300" simplePos="0" relativeHeight="251660288" behindDoc="0" locked="0" layoutInCell="1" allowOverlap="1" wp14:anchorId="599E1F57" wp14:editId="2225227A">
            <wp:simplePos x="0" y="0"/>
            <wp:positionH relativeFrom="page">
              <wp:posOffset>0</wp:posOffset>
            </wp:positionH>
            <wp:positionV relativeFrom="margin">
              <wp:posOffset>8301355</wp:posOffset>
            </wp:positionV>
            <wp:extent cx="7575550" cy="1483995"/>
            <wp:effectExtent l="0" t="0" r="6350" b="1905"/>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extLst>
                        <a:ext uri="{28A0092B-C50C-407E-A947-70E740481C1C}">
                          <a14:useLocalDpi xmlns:a14="http://schemas.microsoft.com/office/drawing/2010/main" val="0"/>
                        </a:ext>
                      </a:extLst>
                    </a:blip>
                    <a:stretch>
                      <a:fillRect/>
                    </a:stretch>
                  </pic:blipFill>
                  <pic:spPr>
                    <a:xfrm>
                      <a:off x="0" y="0"/>
                      <a:ext cx="7575550" cy="1483995"/>
                    </a:xfrm>
                    <a:prstGeom prst="rect">
                      <a:avLst/>
                    </a:prstGeom>
                  </pic:spPr>
                </pic:pic>
              </a:graphicData>
            </a:graphic>
            <wp14:sizeRelH relativeFrom="margin">
              <wp14:pctWidth>0</wp14:pctWidth>
            </wp14:sizeRelH>
            <wp14:sizeRelV relativeFrom="margin">
              <wp14:pctHeight>0</wp14:pctHeight>
            </wp14:sizeRelV>
          </wp:anchor>
        </w:drawing>
      </w:r>
      <w:r w:rsidR="002B49EC">
        <w:rPr>
          <w:rFonts w:ascii="Arial" w:hAnsi="Arial" w:cs="Arial"/>
          <w:kern w:val="28"/>
        </w:rPr>
        <w:t>Madame/Monsieur le Maire/P</w:t>
      </w:r>
      <w:r w:rsidR="002C20B0" w:rsidRPr="002B49EC">
        <w:rPr>
          <w:rFonts w:ascii="Arial" w:hAnsi="Arial" w:cs="Arial"/>
          <w:kern w:val="28"/>
        </w:rPr>
        <w:t>résident expose</w:t>
      </w:r>
      <w:r w:rsidR="00322133" w:rsidRPr="002B49EC">
        <w:rPr>
          <w:rFonts w:ascii="Arial" w:hAnsi="Arial" w:cs="Arial"/>
          <w:kern w:val="28"/>
        </w:rPr>
        <w:t xml:space="preserve"> ce qui suit</w:t>
      </w:r>
      <w:r w:rsidR="002C20B0" w:rsidRPr="002B49EC">
        <w:rPr>
          <w:rFonts w:ascii="Arial" w:hAnsi="Arial" w:cs="Arial"/>
          <w:kern w:val="28"/>
        </w:rPr>
        <w:t xml:space="preserve"> : </w:t>
      </w:r>
    </w:p>
    <w:p w14:paraId="54688DB6" w14:textId="38CED381" w:rsidR="002C20B0" w:rsidRDefault="002C20B0" w:rsidP="002B49EC">
      <w:pPr>
        <w:pStyle w:val="Sansinterligne"/>
        <w:tabs>
          <w:tab w:val="left" w:leader="dot" w:pos="4962"/>
        </w:tabs>
        <w:spacing w:before="120" w:line="276" w:lineRule="auto"/>
        <w:rPr>
          <w:rFonts w:ascii="Arial" w:hAnsi="Arial" w:cs="Arial"/>
          <w:kern w:val="28"/>
        </w:rPr>
      </w:pPr>
      <w:r w:rsidRPr="002B49EC">
        <w:rPr>
          <w:rFonts w:ascii="Arial" w:hAnsi="Arial" w:cs="Arial"/>
          <w:kern w:val="28"/>
        </w:rPr>
        <w:t xml:space="preserve">La loi n° </w:t>
      </w:r>
      <w:r w:rsidR="00292DD6">
        <w:rPr>
          <w:rFonts w:ascii="Arial" w:hAnsi="Arial" w:cs="Arial"/>
          <w:kern w:val="28"/>
        </w:rPr>
        <w:t>2021-1729 du 22 décembre 2021 pour la confiance dans l’institution judiciaire pérennise et généralise le dispositif de médiation préalable obligatoire</w:t>
      </w:r>
      <w:r w:rsidR="003608A5">
        <w:rPr>
          <w:rFonts w:ascii="Arial" w:hAnsi="Arial" w:cs="Arial"/>
          <w:kern w:val="28"/>
        </w:rPr>
        <w:t xml:space="preserve"> (MPO)</w:t>
      </w:r>
      <w:r w:rsidR="00292DD6">
        <w:rPr>
          <w:rFonts w:ascii="Arial" w:hAnsi="Arial" w:cs="Arial"/>
          <w:kern w:val="28"/>
        </w:rPr>
        <w:t xml:space="preserve"> en insérant un article 25-2 à la loi n°84-53 du 26 janvier 1984, et en modifiant les articles L. 213-11 à L. 213-14 du code de la justice administrative</w:t>
      </w:r>
      <w:r w:rsidR="002B49EC">
        <w:rPr>
          <w:rFonts w:ascii="Arial" w:hAnsi="Arial" w:cs="Arial"/>
          <w:kern w:val="28"/>
        </w:rPr>
        <w:t>.</w:t>
      </w:r>
    </w:p>
    <w:p w14:paraId="4A115AD4" w14:textId="44B345A0" w:rsidR="002C20B0" w:rsidRDefault="002C20B0" w:rsidP="002B49EC">
      <w:pPr>
        <w:pStyle w:val="Sansinterligne"/>
        <w:tabs>
          <w:tab w:val="left" w:leader="dot" w:pos="4962"/>
        </w:tabs>
        <w:spacing w:before="120" w:line="276" w:lineRule="auto"/>
        <w:rPr>
          <w:rFonts w:ascii="Arial" w:hAnsi="Arial" w:cs="Arial"/>
          <w:kern w:val="28"/>
        </w:rPr>
      </w:pPr>
      <w:r w:rsidRPr="002B49EC">
        <w:rPr>
          <w:rFonts w:ascii="Arial" w:hAnsi="Arial" w:cs="Arial"/>
          <w:kern w:val="28"/>
        </w:rPr>
        <w:t>La médiation s'entend de tout processus structuré, quelle qu'en soit la dénomination, par lequel les parties à un litige tentent de parvenir à un accord en vue de la résolution amiable de leurs différends.</w:t>
      </w:r>
    </w:p>
    <w:p w14:paraId="2C82EAF6" w14:textId="0B496BFA" w:rsidR="005843B9" w:rsidRPr="002B49EC" w:rsidRDefault="003608A5" w:rsidP="002B49EC">
      <w:pPr>
        <w:pStyle w:val="Sansinterligne"/>
        <w:tabs>
          <w:tab w:val="left" w:leader="dot" w:pos="4962"/>
        </w:tabs>
        <w:spacing w:before="120" w:line="276" w:lineRule="auto"/>
        <w:rPr>
          <w:rFonts w:ascii="Arial" w:hAnsi="Arial" w:cs="Arial"/>
          <w:kern w:val="28"/>
        </w:rPr>
      </w:pPr>
      <w:r>
        <w:rPr>
          <w:rFonts w:ascii="Arial" w:hAnsi="Arial" w:cs="Arial"/>
          <w:kern w:val="28"/>
        </w:rPr>
        <w:t xml:space="preserve">Le </w:t>
      </w:r>
      <w:r w:rsidR="000C22D7">
        <w:rPr>
          <w:rFonts w:ascii="Arial" w:hAnsi="Arial" w:cs="Arial"/>
          <w:kern w:val="28"/>
        </w:rPr>
        <w:t>dispositif</w:t>
      </w:r>
      <w:r>
        <w:rPr>
          <w:rFonts w:ascii="Arial" w:hAnsi="Arial" w:cs="Arial"/>
          <w:kern w:val="28"/>
        </w:rPr>
        <w:t xml:space="preserve"> de MPO</w:t>
      </w:r>
      <w:r w:rsidR="005843B9">
        <w:rPr>
          <w:rFonts w:ascii="Arial" w:hAnsi="Arial" w:cs="Arial"/>
          <w:kern w:val="28"/>
        </w:rPr>
        <w:t xml:space="preserve"> permet </w:t>
      </w:r>
      <w:r w:rsidR="000C22D7">
        <w:rPr>
          <w:rFonts w:ascii="Arial" w:hAnsi="Arial" w:cs="Arial"/>
          <w:kern w:val="28"/>
        </w:rPr>
        <w:t>ainsi</w:t>
      </w:r>
      <w:r w:rsidR="005843B9">
        <w:rPr>
          <w:rFonts w:ascii="Arial" w:hAnsi="Arial" w:cs="Arial"/>
          <w:kern w:val="28"/>
        </w:rPr>
        <w:t xml:space="preserve"> d’introduire une phase de médiation avant tout recours devant le Tribunal administratif de Poitiers, pour les décisions </w:t>
      </w:r>
      <w:r w:rsidR="008E5821">
        <w:rPr>
          <w:rFonts w:ascii="Arial" w:hAnsi="Arial" w:cs="Arial"/>
          <w:kern w:val="28"/>
        </w:rPr>
        <w:t>prévues par le décret n°2022-433 du 25 mars 2022, à savoir</w:t>
      </w:r>
      <w:r w:rsidR="005843B9">
        <w:rPr>
          <w:rFonts w:ascii="Arial" w:hAnsi="Arial" w:cs="Arial"/>
          <w:kern w:val="28"/>
        </w:rPr>
        <w:t> :</w:t>
      </w:r>
    </w:p>
    <w:p w14:paraId="1E441235" w14:textId="77777777" w:rsidR="008E5821" w:rsidRPr="00FC0799" w:rsidRDefault="008E5821" w:rsidP="008E5821">
      <w:pPr>
        <w:pStyle w:val="Paragraphedeliste"/>
        <w:numPr>
          <w:ilvl w:val="0"/>
          <w:numId w:val="4"/>
        </w:numPr>
        <w:jc w:val="both"/>
        <w:rPr>
          <w:rFonts w:ascii="Arial" w:hAnsi="Arial" w:cs="Arial"/>
        </w:rPr>
      </w:pPr>
      <w:r w:rsidRPr="00FC0799">
        <w:rPr>
          <w:rFonts w:ascii="Arial" w:hAnsi="Arial" w:cs="Arial"/>
        </w:rPr>
        <w:t>Décisions administratives individuelles défavorables relatives à l'un des éléments de rémunération mentionnés à l'article L. 712-1 du code général de la fonction publique</w:t>
      </w:r>
      <w:r w:rsidRPr="002D47AA">
        <w:rPr>
          <w:rFonts w:ascii="Arial" w:hAnsi="Arial" w:cs="Arial"/>
        </w:rPr>
        <w:t> </w:t>
      </w:r>
      <w:r w:rsidRPr="00FC0799">
        <w:rPr>
          <w:rFonts w:ascii="Arial" w:hAnsi="Arial" w:cs="Arial"/>
        </w:rPr>
        <w:t>;</w:t>
      </w:r>
    </w:p>
    <w:p w14:paraId="347B400A" w14:textId="77777777" w:rsidR="008E5821" w:rsidRPr="00FC0799" w:rsidRDefault="008E5821" w:rsidP="008E5821">
      <w:pPr>
        <w:pStyle w:val="Paragraphedeliste"/>
        <w:numPr>
          <w:ilvl w:val="0"/>
          <w:numId w:val="4"/>
        </w:numPr>
        <w:jc w:val="both"/>
        <w:rPr>
          <w:rFonts w:ascii="Arial" w:hAnsi="Arial" w:cs="Arial"/>
        </w:rPr>
      </w:pPr>
      <w:r w:rsidRPr="00FC0799">
        <w:rPr>
          <w:rFonts w:ascii="Arial" w:hAnsi="Arial" w:cs="Arial"/>
        </w:rPr>
        <w:t>Refus de détachement ou de placement en disponibilité et, pour les agents contractuels, refus de congés non rémunérés prévus aux articles 15, 17, 18 et 35-2 du décret</w:t>
      </w:r>
      <w:r>
        <w:rPr>
          <w:rFonts w:ascii="Arial" w:hAnsi="Arial" w:cs="Arial"/>
        </w:rPr>
        <w:t xml:space="preserve"> n°88-145</w:t>
      </w:r>
      <w:r w:rsidRPr="00FC0799">
        <w:rPr>
          <w:rFonts w:ascii="Arial" w:hAnsi="Arial" w:cs="Arial"/>
        </w:rPr>
        <w:t xml:space="preserve"> du 15 février 1988 ;</w:t>
      </w:r>
    </w:p>
    <w:p w14:paraId="77548FBA" w14:textId="77777777" w:rsidR="008E5821" w:rsidRPr="00FC0799" w:rsidRDefault="008E5821" w:rsidP="008E5821">
      <w:pPr>
        <w:pStyle w:val="Paragraphedeliste"/>
        <w:numPr>
          <w:ilvl w:val="0"/>
          <w:numId w:val="4"/>
        </w:numPr>
        <w:jc w:val="both"/>
        <w:rPr>
          <w:rFonts w:ascii="Arial" w:hAnsi="Arial" w:cs="Arial"/>
        </w:rPr>
      </w:pPr>
      <w:r w:rsidRPr="00FC0799">
        <w:rPr>
          <w:rFonts w:ascii="Arial" w:hAnsi="Arial" w:cs="Arial"/>
        </w:rPr>
        <w:t xml:space="preserve">Décisions administratives individuelles défavorables relatives à la réintégration à l'issue d'un détachement, d'un placement en disponibilité ou d'un congé parental ou relatives au réemploi d'un agent contractuel à l'issue d'un congé mentionné au 2° </w:t>
      </w:r>
      <w:r>
        <w:rPr>
          <w:rFonts w:ascii="Arial" w:hAnsi="Arial" w:cs="Arial"/>
        </w:rPr>
        <w:t>ci-dessus</w:t>
      </w:r>
      <w:r w:rsidRPr="00FC0799">
        <w:rPr>
          <w:rFonts w:ascii="Arial" w:hAnsi="Arial" w:cs="Arial"/>
        </w:rPr>
        <w:t xml:space="preserve"> ;</w:t>
      </w:r>
    </w:p>
    <w:p w14:paraId="021AD972" w14:textId="77777777" w:rsidR="008E5821" w:rsidRPr="00FC0799" w:rsidRDefault="008E5821" w:rsidP="008E5821">
      <w:pPr>
        <w:pStyle w:val="Paragraphedeliste"/>
        <w:numPr>
          <w:ilvl w:val="0"/>
          <w:numId w:val="4"/>
        </w:numPr>
        <w:jc w:val="both"/>
        <w:rPr>
          <w:rFonts w:ascii="Arial" w:hAnsi="Arial" w:cs="Arial"/>
        </w:rPr>
      </w:pPr>
      <w:r w:rsidRPr="00FC0799">
        <w:rPr>
          <w:rFonts w:ascii="Arial" w:hAnsi="Arial" w:cs="Arial"/>
        </w:rPr>
        <w:t>Décisions administratives individuelles défavorables relatives au classement de l'agent à l'issue d'un avancement de grade ou d'un changement de cadre d'emploi</w:t>
      </w:r>
      <w:r>
        <w:rPr>
          <w:rFonts w:ascii="Arial" w:hAnsi="Arial" w:cs="Arial"/>
        </w:rPr>
        <w:t>s</w:t>
      </w:r>
      <w:r w:rsidRPr="00FC0799">
        <w:rPr>
          <w:rFonts w:ascii="Arial" w:hAnsi="Arial" w:cs="Arial"/>
        </w:rPr>
        <w:t xml:space="preserve"> obtenu par promotion interne ;</w:t>
      </w:r>
    </w:p>
    <w:p w14:paraId="5B149C17" w14:textId="77777777" w:rsidR="008E5821" w:rsidRPr="00FC0799" w:rsidRDefault="008E5821" w:rsidP="008E5821">
      <w:pPr>
        <w:pStyle w:val="Paragraphedeliste"/>
        <w:numPr>
          <w:ilvl w:val="0"/>
          <w:numId w:val="4"/>
        </w:numPr>
        <w:jc w:val="both"/>
        <w:rPr>
          <w:rFonts w:ascii="Arial" w:hAnsi="Arial" w:cs="Arial"/>
        </w:rPr>
      </w:pPr>
      <w:r w:rsidRPr="00FC0799">
        <w:rPr>
          <w:rFonts w:ascii="Arial" w:hAnsi="Arial" w:cs="Arial"/>
        </w:rPr>
        <w:t>Décisions administratives individuelles défavorables relatives à la formation professionnelle tout au long de la vie ;</w:t>
      </w:r>
    </w:p>
    <w:p w14:paraId="40B5089B" w14:textId="77777777" w:rsidR="008E5821" w:rsidRPr="00FC0799" w:rsidRDefault="008E5821" w:rsidP="008E5821">
      <w:pPr>
        <w:pStyle w:val="Paragraphedeliste"/>
        <w:numPr>
          <w:ilvl w:val="0"/>
          <w:numId w:val="4"/>
        </w:numPr>
        <w:jc w:val="both"/>
        <w:rPr>
          <w:rFonts w:ascii="Arial" w:hAnsi="Arial" w:cs="Arial"/>
        </w:rPr>
      </w:pPr>
      <w:r w:rsidRPr="00FC0799">
        <w:rPr>
          <w:rFonts w:ascii="Arial" w:hAnsi="Arial" w:cs="Arial"/>
        </w:rPr>
        <w:t>Décisions administratives individuelles défavorables relatives aux mesures appropriées prises par les employeurs publics à l'égard des travailleurs handicapés en application des articles L. 131-8 et L. 131-10 du code général de la fonction publique ;</w:t>
      </w:r>
    </w:p>
    <w:p w14:paraId="7C180283" w14:textId="77777777" w:rsidR="008E5821" w:rsidRPr="00FC0799" w:rsidRDefault="008E5821" w:rsidP="008E5821">
      <w:pPr>
        <w:pStyle w:val="Paragraphedeliste"/>
        <w:numPr>
          <w:ilvl w:val="0"/>
          <w:numId w:val="4"/>
        </w:numPr>
        <w:jc w:val="both"/>
        <w:rPr>
          <w:rFonts w:ascii="Arial" w:hAnsi="Arial" w:cs="Arial"/>
        </w:rPr>
      </w:pPr>
      <w:r w:rsidRPr="00FC0799">
        <w:rPr>
          <w:rFonts w:ascii="Arial" w:hAnsi="Arial" w:cs="Arial"/>
        </w:rPr>
        <w:t xml:space="preserve">Décisions administratives individuelles défavorables concernant l'aménagement des conditions de travail des fonctionnaires qui ne sont plus en mesure d'exercer leurs fonctions dans les conditions prévues par </w:t>
      </w:r>
      <w:r>
        <w:rPr>
          <w:rFonts w:ascii="Arial" w:hAnsi="Arial" w:cs="Arial"/>
        </w:rPr>
        <w:t>le décret n°85-1054</w:t>
      </w:r>
      <w:r w:rsidRPr="00FC0799">
        <w:rPr>
          <w:rFonts w:ascii="Arial" w:hAnsi="Arial" w:cs="Arial"/>
        </w:rPr>
        <w:t xml:space="preserve"> du</w:t>
      </w:r>
      <w:r>
        <w:rPr>
          <w:rFonts w:ascii="Arial" w:hAnsi="Arial" w:cs="Arial"/>
        </w:rPr>
        <w:t xml:space="preserve"> </w:t>
      </w:r>
      <w:r w:rsidRPr="00FC0799">
        <w:rPr>
          <w:rFonts w:ascii="Arial" w:hAnsi="Arial" w:cs="Arial"/>
        </w:rPr>
        <w:t>30 septembre 1985.</w:t>
      </w:r>
    </w:p>
    <w:p w14:paraId="4D36DEB6" w14:textId="77777777" w:rsidR="000C22D7" w:rsidRPr="002B49EC" w:rsidRDefault="000C22D7" w:rsidP="000C22D7">
      <w:pPr>
        <w:pStyle w:val="Sansinterligne"/>
        <w:tabs>
          <w:tab w:val="left" w:leader="dot" w:pos="4962"/>
        </w:tabs>
        <w:spacing w:before="120" w:line="276" w:lineRule="auto"/>
        <w:rPr>
          <w:rFonts w:ascii="Arial" w:hAnsi="Arial" w:cs="Arial"/>
          <w:kern w:val="28"/>
        </w:rPr>
      </w:pPr>
      <w:r>
        <w:rPr>
          <w:rFonts w:ascii="Arial" w:hAnsi="Arial" w:cs="Arial"/>
          <w:kern w:val="28"/>
        </w:rPr>
        <w:lastRenderedPageBreak/>
        <w:t>Si les centres de gestion, en qualité de tiers de confiance, propose une mission de médiation préalable obligatoire, les collectivités ont la faculté de choisir ou non d’y adhérer.</w:t>
      </w:r>
    </w:p>
    <w:p w14:paraId="62B79434" w14:textId="77777777" w:rsidR="00B906C2" w:rsidRDefault="002B49EC" w:rsidP="003B7491">
      <w:pPr>
        <w:pStyle w:val="Sansinterligne"/>
        <w:tabs>
          <w:tab w:val="left" w:leader="dot" w:pos="4962"/>
        </w:tabs>
        <w:spacing w:before="120" w:line="276" w:lineRule="auto"/>
        <w:rPr>
          <w:rFonts w:ascii="Arial" w:hAnsi="Arial" w:cs="Arial"/>
        </w:rPr>
      </w:pPr>
      <w:bookmarkStart w:id="0" w:name="_Hlk513125211"/>
      <w:r w:rsidRPr="000F3B6D">
        <w:rPr>
          <w:rFonts w:ascii="Arial" w:hAnsi="Arial" w:cs="Arial"/>
        </w:rPr>
        <w:t>Cette adhésion n’occasionnera aucun frais ; seule la saisine du médiateur à l’occasion d’un litige entre un agent et sa collectivité donnera lieu à contribution financière.</w:t>
      </w:r>
      <w:r w:rsidR="003B7491">
        <w:rPr>
          <w:rFonts w:ascii="Arial" w:hAnsi="Arial" w:cs="Arial"/>
        </w:rPr>
        <w:t xml:space="preserve"> </w:t>
      </w:r>
    </w:p>
    <w:bookmarkEnd w:id="0"/>
    <w:p w14:paraId="37BD68A8" w14:textId="298812F5" w:rsidR="00B906C2" w:rsidRDefault="00B906C2" w:rsidP="00B906C2">
      <w:pPr>
        <w:autoSpaceDE w:val="0"/>
        <w:autoSpaceDN w:val="0"/>
        <w:adjustRightInd w:val="0"/>
        <w:spacing w:before="120" w:after="120" w:line="240" w:lineRule="auto"/>
        <w:jc w:val="both"/>
        <w:rPr>
          <w:rFonts w:ascii="Arial" w:hAnsi="Arial" w:cs="Arial"/>
        </w:rPr>
      </w:pPr>
      <w:r w:rsidRPr="002C223E">
        <w:rPr>
          <w:rFonts w:ascii="Arial" w:hAnsi="Arial" w:cs="Arial"/>
        </w:rPr>
        <w:t>L’intervention du Centre de Gestion</w:t>
      </w:r>
      <w:r>
        <w:rPr>
          <w:rFonts w:ascii="Arial" w:hAnsi="Arial" w:cs="Arial"/>
        </w:rPr>
        <w:t xml:space="preserve"> de la Charente-Maritime</w:t>
      </w:r>
      <w:r w:rsidRPr="002C223E">
        <w:rPr>
          <w:rFonts w:ascii="Arial" w:hAnsi="Arial" w:cs="Arial"/>
        </w:rPr>
        <w:t xml:space="preserve"> fait ainsi l’objet d’une participation </w:t>
      </w:r>
      <w:r>
        <w:rPr>
          <w:rFonts w:ascii="Arial" w:hAnsi="Arial" w:cs="Arial"/>
        </w:rPr>
        <w:t>versée par la collectivité</w:t>
      </w:r>
      <w:r w:rsidR="003608A5">
        <w:rPr>
          <w:rFonts w:ascii="Arial" w:hAnsi="Arial" w:cs="Arial"/>
        </w:rPr>
        <w:t xml:space="preserve"> prévue actuellement</w:t>
      </w:r>
      <w:r w:rsidRPr="002C223E">
        <w:rPr>
          <w:rFonts w:ascii="Arial" w:hAnsi="Arial" w:cs="Arial"/>
        </w:rPr>
        <w:t xml:space="preserve"> à hauteur de </w:t>
      </w:r>
      <w:r>
        <w:rPr>
          <w:rFonts w:ascii="Arial" w:hAnsi="Arial" w:cs="Arial"/>
        </w:rPr>
        <w:t>70</w:t>
      </w:r>
      <w:r w:rsidRPr="002C223E">
        <w:rPr>
          <w:rFonts w:ascii="Arial" w:hAnsi="Arial" w:cs="Arial"/>
        </w:rPr>
        <w:t xml:space="preserve"> euros par heure d’intervention du Centre de Gestion entendue comme le temps de présence passé par la personne physique désignée auprès de l’une, de l’autre ou des parties</w:t>
      </w:r>
      <w:r>
        <w:rPr>
          <w:rFonts w:ascii="Arial" w:hAnsi="Arial" w:cs="Arial"/>
        </w:rPr>
        <w:t>, ainsi que le temps de préparation de la médiation (y compris les éventuels temps de trajet)</w:t>
      </w:r>
      <w:r w:rsidRPr="002C223E">
        <w:rPr>
          <w:rFonts w:ascii="Arial" w:hAnsi="Arial" w:cs="Arial"/>
        </w:rPr>
        <w:t>.</w:t>
      </w:r>
    </w:p>
    <w:p w14:paraId="7864BFBB" w14:textId="77777777" w:rsidR="00B906C2" w:rsidRDefault="00B906C2" w:rsidP="00B906C2">
      <w:pPr>
        <w:autoSpaceDE w:val="0"/>
        <w:autoSpaceDN w:val="0"/>
        <w:adjustRightInd w:val="0"/>
        <w:spacing w:after="0" w:line="240" w:lineRule="auto"/>
        <w:jc w:val="both"/>
        <w:rPr>
          <w:rFonts w:ascii="Arial" w:hAnsi="Arial" w:cs="Arial"/>
        </w:rPr>
      </w:pPr>
      <w:r w:rsidRPr="00D55A54">
        <w:rPr>
          <w:rFonts w:ascii="Arial" w:hAnsi="Arial" w:cs="Arial"/>
        </w:rPr>
        <w:t>Le cas échéant, des déplacements du médiateur pour une intervention en dehors du siège du Centre de Gestion feront l’objet d’une participation financière complémentaire déterminée sur la base des règles d’indemnisation des déplacements de la fonction publique.</w:t>
      </w:r>
    </w:p>
    <w:p w14:paraId="4C1C6CCF" w14:textId="77777777" w:rsidR="000E2730" w:rsidRPr="002B49EC" w:rsidRDefault="000E2730" w:rsidP="002B49EC">
      <w:pPr>
        <w:pStyle w:val="Sansinterligne"/>
        <w:tabs>
          <w:tab w:val="left" w:leader="dot" w:pos="4962"/>
        </w:tabs>
        <w:spacing w:before="120" w:line="276" w:lineRule="auto"/>
        <w:rPr>
          <w:rFonts w:ascii="Arial" w:hAnsi="Arial" w:cs="Arial"/>
          <w:kern w:val="28"/>
        </w:rPr>
      </w:pPr>
      <w:r w:rsidRPr="002B49EC">
        <w:rPr>
          <w:rFonts w:ascii="Arial" w:hAnsi="Arial" w:cs="Arial"/>
          <w:kern w:val="28"/>
        </w:rPr>
        <w:t>En cas d’adhésion de la collectivité</w:t>
      </w:r>
      <w:r w:rsidR="002B49EC">
        <w:rPr>
          <w:rFonts w:ascii="Arial" w:hAnsi="Arial" w:cs="Arial"/>
          <w:kern w:val="28"/>
        </w:rPr>
        <w:t xml:space="preserve"> ou de l’établissement</w:t>
      </w:r>
      <w:r w:rsidRPr="002B49EC">
        <w:rPr>
          <w:rFonts w:ascii="Arial" w:hAnsi="Arial" w:cs="Arial"/>
          <w:kern w:val="28"/>
        </w:rPr>
        <w:t>, tout recours d’un agent contre l’une des décisions entrant dans le champ de l’expérimentat</w:t>
      </w:r>
      <w:r w:rsidR="001F457A" w:rsidRPr="002B49EC">
        <w:rPr>
          <w:rFonts w:ascii="Arial" w:hAnsi="Arial" w:cs="Arial"/>
          <w:kern w:val="28"/>
        </w:rPr>
        <w:t>ion sera obligatoirement soumis</w:t>
      </w:r>
      <w:r w:rsidRPr="002B49EC">
        <w:rPr>
          <w:rFonts w:ascii="Arial" w:hAnsi="Arial" w:cs="Arial"/>
          <w:kern w:val="28"/>
        </w:rPr>
        <w:t xml:space="preserve"> à une médiation préalablement à la saisine du tribunal administratif, sous peine d’irrecevabilité du recours.</w:t>
      </w:r>
    </w:p>
    <w:p w14:paraId="79870F0C" w14:textId="77777777" w:rsidR="000E2730" w:rsidRPr="002B49EC" w:rsidRDefault="000E2730" w:rsidP="003B7491">
      <w:pPr>
        <w:pStyle w:val="Sansinterligne"/>
        <w:tabs>
          <w:tab w:val="left" w:leader="dot" w:pos="4962"/>
        </w:tabs>
        <w:spacing w:before="120" w:line="276" w:lineRule="auto"/>
        <w:rPr>
          <w:rFonts w:ascii="Arial" w:hAnsi="Arial" w:cs="Arial"/>
          <w:kern w:val="28"/>
        </w:rPr>
      </w:pPr>
      <w:r w:rsidRPr="002B49EC">
        <w:rPr>
          <w:rFonts w:ascii="Arial" w:hAnsi="Arial" w:cs="Arial"/>
          <w:kern w:val="28"/>
        </w:rPr>
        <w:t>La média</w:t>
      </w:r>
      <w:r w:rsidR="001F457A" w:rsidRPr="002B49EC">
        <w:rPr>
          <w:rFonts w:ascii="Arial" w:hAnsi="Arial" w:cs="Arial"/>
          <w:kern w:val="28"/>
        </w:rPr>
        <w:t xml:space="preserve">tion sera assurée par un agent du </w:t>
      </w:r>
      <w:r w:rsidR="002B49EC">
        <w:rPr>
          <w:rFonts w:ascii="Arial" w:hAnsi="Arial" w:cs="Arial"/>
          <w:kern w:val="28"/>
        </w:rPr>
        <w:t>Centre de Gestion</w:t>
      </w:r>
      <w:r w:rsidR="001F457A" w:rsidRPr="002B49EC">
        <w:rPr>
          <w:rFonts w:ascii="Arial" w:hAnsi="Arial" w:cs="Arial"/>
          <w:kern w:val="28"/>
        </w:rPr>
        <w:t xml:space="preserve"> spécialement formé à cet effet et présentant des garanties d’impartialité et de probité, dans le respect de la Charte des médiateurs des centres de gestion</w:t>
      </w:r>
      <w:r w:rsidR="00322133" w:rsidRPr="002B49EC">
        <w:rPr>
          <w:rFonts w:ascii="Arial" w:hAnsi="Arial" w:cs="Arial"/>
          <w:kern w:val="28"/>
        </w:rPr>
        <w:t xml:space="preserve"> et d’une stricte confidentialité</w:t>
      </w:r>
      <w:r w:rsidR="001F457A" w:rsidRPr="002B49EC">
        <w:rPr>
          <w:rFonts w:ascii="Arial" w:hAnsi="Arial" w:cs="Arial"/>
          <w:kern w:val="28"/>
        </w:rPr>
        <w:t>. Elle se terminera soit par l’accord des parties, soit par un constat d’échec de la médiation, qui fera alors de nouveau courir les délais de recours.</w:t>
      </w:r>
    </w:p>
    <w:p w14:paraId="3065AB28" w14:textId="77777777" w:rsidR="00111DE8" w:rsidRDefault="00111DE8" w:rsidP="003B7491">
      <w:pPr>
        <w:pStyle w:val="Sansinterligne"/>
        <w:tabs>
          <w:tab w:val="left" w:leader="dot" w:pos="4962"/>
        </w:tabs>
        <w:spacing w:before="120" w:line="276" w:lineRule="auto"/>
        <w:rPr>
          <w:rFonts w:ascii="Arial" w:hAnsi="Arial" w:cs="Arial"/>
          <w:kern w:val="28"/>
        </w:rPr>
      </w:pPr>
    </w:p>
    <w:p w14:paraId="4D5934FF" w14:textId="4763D940" w:rsidR="00D74E89" w:rsidRDefault="002C20B0" w:rsidP="003B7491">
      <w:pPr>
        <w:pStyle w:val="Sansinterligne"/>
        <w:tabs>
          <w:tab w:val="left" w:leader="dot" w:pos="4962"/>
        </w:tabs>
        <w:spacing w:before="120" w:line="276" w:lineRule="auto"/>
        <w:rPr>
          <w:rFonts w:ascii="Arial" w:hAnsi="Arial" w:cs="Arial"/>
          <w:kern w:val="28"/>
        </w:rPr>
      </w:pPr>
      <w:r w:rsidRPr="002B49EC">
        <w:rPr>
          <w:rFonts w:ascii="Arial" w:hAnsi="Arial" w:cs="Arial"/>
          <w:kern w:val="28"/>
        </w:rPr>
        <w:t>Le conseil municipal/d’administration</w:t>
      </w:r>
      <w:r w:rsidR="003B7491">
        <w:rPr>
          <w:rFonts w:ascii="Arial" w:hAnsi="Arial" w:cs="Arial"/>
          <w:kern w:val="28"/>
        </w:rPr>
        <w:t>/communautaire</w:t>
      </w:r>
      <w:r w:rsidRPr="002B49EC">
        <w:rPr>
          <w:rFonts w:ascii="Arial" w:hAnsi="Arial" w:cs="Arial"/>
          <w:kern w:val="28"/>
        </w:rPr>
        <w:t>, après avoir délibéré :</w:t>
      </w:r>
    </w:p>
    <w:p w14:paraId="5C923D2C" w14:textId="77777777" w:rsidR="00111DE8" w:rsidRDefault="00111DE8" w:rsidP="003B7491">
      <w:pPr>
        <w:pStyle w:val="Sansinterligne"/>
        <w:tabs>
          <w:tab w:val="left" w:leader="dot" w:pos="4962"/>
        </w:tabs>
        <w:spacing w:before="120" w:line="276" w:lineRule="auto"/>
        <w:rPr>
          <w:rFonts w:ascii="Arial" w:hAnsi="Arial" w:cs="Arial"/>
          <w:kern w:val="28"/>
        </w:rPr>
      </w:pPr>
    </w:p>
    <w:p w14:paraId="481842AF" w14:textId="77777777" w:rsidR="000446A7" w:rsidRDefault="000446A7" w:rsidP="000446A7">
      <w:pPr>
        <w:pStyle w:val="Sansinterligne"/>
        <w:spacing w:before="120" w:line="276" w:lineRule="auto"/>
        <w:rPr>
          <w:rFonts w:ascii="Arial" w:hAnsi="Arial" w:cs="Arial"/>
          <w:kern w:val="28"/>
        </w:rPr>
      </w:pPr>
      <w:r w:rsidRPr="002B49EC">
        <w:rPr>
          <w:rFonts w:ascii="Arial" w:hAnsi="Arial" w:cs="Arial"/>
          <w:b/>
          <w:kern w:val="28"/>
        </w:rPr>
        <w:t>Vu</w:t>
      </w:r>
      <w:r w:rsidRPr="002B49EC">
        <w:rPr>
          <w:rFonts w:ascii="Arial" w:hAnsi="Arial" w:cs="Arial"/>
          <w:kern w:val="28"/>
        </w:rPr>
        <w:t xml:space="preserve"> le code de </w:t>
      </w:r>
      <w:r>
        <w:rPr>
          <w:rFonts w:ascii="Arial" w:hAnsi="Arial" w:cs="Arial"/>
          <w:kern w:val="28"/>
        </w:rPr>
        <w:t>j</w:t>
      </w:r>
      <w:r w:rsidRPr="002B49EC">
        <w:rPr>
          <w:rFonts w:ascii="Arial" w:hAnsi="Arial" w:cs="Arial"/>
          <w:kern w:val="28"/>
        </w:rPr>
        <w:t>ustice administrative,</w:t>
      </w:r>
    </w:p>
    <w:p w14:paraId="65C31CC6" w14:textId="77777777" w:rsidR="000446A7" w:rsidRPr="002B49EC" w:rsidRDefault="000446A7" w:rsidP="000446A7">
      <w:pPr>
        <w:pStyle w:val="Sansinterligne"/>
        <w:spacing w:before="120" w:line="276" w:lineRule="auto"/>
        <w:rPr>
          <w:rFonts w:ascii="Arial" w:hAnsi="Arial" w:cs="Arial"/>
          <w:kern w:val="28"/>
        </w:rPr>
      </w:pPr>
      <w:r w:rsidRPr="000446A7">
        <w:rPr>
          <w:rFonts w:ascii="Arial" w:hAnsi="Arial" w:cs="Arial"/>
          <w:b/>
          <w:bCs/>
          <w:kern w:val="28"/>
        </w:rPr>
        <w:t>Vu</w:t>
      </w:r>
      <w:r>
        <w:rPr>
          <w:rFonts w:ascii="Arial" w:hAnsi="Arial" w:cs="Arial"/>
          <w:kern w:val="28"/>
        </w:rPr>
        <w:t xml:space="preserve"> le code général de la fonction publique,</w:t>
      </w:r>
    </w:p>
    <w:p w14:paraId="0933B2AC" w14:textId="77777777" w:rsidR="000446A7" w:rsidRPr="002B49EC" w:rsidRDefault="000446A7" w:rsidP="000446A7">
      <w:pPr>
        <w:pStyle w:val="Sansinterligne"/>
        <w:spacing w:before="120" w:line="276" w:lineRule="auto"/>
        <w:rPr>
          <w:rFonts w:ascii="Arial" w:hAnsi="Arial" w:cs="Arial"/>
          <w:kern w:val="28"/>
        </w:rPr>
      </w:pPr>
      <w:r w:rsidRPr="002B49EC">
        <w:rPr>
          <w:rFonts w:ascii="Arial" w:hAnsi="Arial" w:cs="Arial"/>
          <w:b/>
          <w:kern w:val="28"/>
        </w:rPr>
        <w:t>Vu</w:t>
      </w:r>
      <w:r w:rsidRPr="002B49EC">
        <w:rPr>
          <w:rFonts w:ascii="Arial" w:hAnsi="Arial" w:cs="Arial"/>
          <w:kern w:val="28"/>
        </w:rPr>
        <w:t xml:space="preserve"> la loi n°84-53 du 26 janvier 1984 portant disposition statutaires relatives à la fonction publique territoriale et notamment son article 25</w:t>
      </w:r>
      <w:r>
        <w:rPr>
          <w:rFonts w:ascii="Arial" w:hAnsi="Arial" w:cs="Arial"/>
          <w:kern w:val="28"/>
        </w:rPr>
        <w:t>-2</w:t>
      </w:r>
      <w:r w:rsidRPr="002B49EC">
        <w:rPr>
          <w:rFonts w:ascii="Arial" w:hAnsi="Arial" w:cs="Arial"/>
          <w:kern w:val="28"/>
        </w:rPr>
        <w:t>,</w:t>
      </w:r>
    </w:p>
    <w:p w14:paraId="53BC275F" w14:textId="63628284" w:rsidR="000446A7" w:rsidRDefault="000446A7" w:rsidP="000446A7">
      <w:pPr>
        <w:pStyle w:val="Sansinterligne"/>
        <w:spacing w:before="120" w:line="276" w:lineRule="auto"/>
        <w:rPr>
          <w:rFonts w:ascii="Arial" w:hAnsi="Arial" w:cs="Arial"/>
          <w:kern w:val="28"/>
        </w:rPr>
      </w:pPr>
      <w:r w:rsidRPr="002B49EC">
        <w:rPr>
          <w:rFonts w:ascii="Arial" w:hAnsi="Arial" w:cs="Arial"/>
          <w:b/>
          <w:kern w:val="28"/>
        </w:rPr>
        <w:t>Vu</w:t>
      </w:r>
      <w:r w:rsidRPr="002B49EC">
        <w:rPr>
          <w:rFonts w:ascii="Arial" w:hAnsi="Arial" w:cs="Arial"/>
          <w:kern w:val="28"/>
        </w:rPr>
        <w:t xml:space="preserve"> la loi n°2016-1547 du 18 novembre 2016 de modernisation de la justice du XXI</w:t>
      </w:r>
      <w:r w:rsidRPr="00111DE8">
        <w:rPr>
          <w:rFonts w:ascii="Arial" w:hAnsi="Arial" w:cs="Arial"/>
          <w:kern w:val="28"/>
          <w:vertAlign w:val="superscript"/>
        </w:rPr>
        <w:t>e</w:t>
      </w:r>
      <w:r w:rsidRPr="002B49EC">
        <w:rPr>
          <w:rFonts w:ascii="Arial" w:hAnsi="Arial" w:cs="Arial"/>
          <w:kern w:val="28"/>
        </w:rPr>
        <w:t xml:space="preserve"> siècle,</w:t>
      </w:r>
    </w:p>
    <w:p w14:paraId="5DFFF714" w14:textId="521C2B15" w:rsidR="00111DE8" w:rsidRPr="00111DE8" w:rsidRDefault="00111DE8" w:rsidP="00111DE8">
      <w:pPr>
        <w:pStyle w:val="Sansinterligne"/>
        <w:spacing w:before="120" w:line="276" w:lineRule="auto"/>
        <w:rPr>
          <w:rFonts w:ascii="Arial" w:hAnsi="Arial" w:cs="Arial"/>
          <w:b/>
          <w:kern w:val="28"/>
        </w:rPr>
      </w:pPr>
      <w:r w:rsidRPr="00111DE8">
        <w:rPr>
          <w:rFonts w:ascii="Arial" w:hAnsi="Arial" w:cs="Arial"/>
          <w:b/>
          <w:kern w:val="28"/>
        </w:rPr>
        <w:t xml:space="preserve">Vu </w:t>
      </w:r>
      <w:r w:rsidRPr="00111DE8">
        <w:rPr>
          <w:rFonts w:ascii="Arial" w:hAnsi="Arial" w:cs="Arial"/>
          <w:bCs/>
          <w:kern w:val="28"/>
        </w:rPr>
        <w:t xml:space="preserve">la loi n°2021-1729 </w:t>
      </w:r>
      <w:r w:rsidRPr="00111DE8">
        <w:rPr>
          <w:rFonts w:ascii="Arial" w:hAnsi="Arial" w:cs="Arial"/>
          <w:bCs/>
          <w:kern w:val="28"/>
        </w:rPr>
        <w:t>du 22 décembre 2021 pour la confiance dans l'institution judiciaire</w:t>
      </w:r>
      <w:r w:rsidRPr="00111DE8">
        <w:rPr>
          <w:rFonts w:ascii="Arial" w:hAnsi="Arial" w:cs="Arial"/>
          <w:bCs/>
          <w:kern w:val="28"/>
        </w:rPr>
        <w:t>,</w:t>
      </w:r>
    </w:p>
    <w:p w14:paraId="2562A5AA" w14:textId="1DAD9EEB" w:rsidR="00111DE8" w:rsidRPr="00111DE8" w:rsidRDefault="00111DE8" w:rsidP="00111DE8">
      <w:pPr>
        <w:pStyle w:val="Sansinterligne"/>
        <w:spacing w:before="120" w:line="276" w:lineRule="auto"/>
        <w:rPr>
          <w:rFonts w:ascii="Arial" w:hAnsi="Arial" w:cs="Arial"/>
          <w:bCs/>
          <w:kern w:val="28"/>
        </w:rPr>
      </w:pPr>
      <w:r w:rsidRPr="00111DE8">
        <w:rPr>
          <w:rFonts w:ascii="Arial" w:hAnsi="Arial" w:cs="Arial"/>
          <w:b/>
          <w:kern w:val="28"/>
        </w:rPr>
        <w:t xml:space="preserve">Vu </w:t>
      </w:r>
      <w:r w:rsidRPr="00111DE8">
        <w:rPr>
          <w:rFonts w:ascii="Arial" w:hAnsi="Arial" w:cs="Arial"/>
          <w:bCs/>
          <w:kern w:val="28"/>
        </w:rPr>
        <w:t xml:space="preserve">le décret n°2022-433 </w:t>
      </w:r>
      <w:r w:rsidRPr="00111DE8">
        <w:rPr>
          <w:rFonts w:ascii="Arial" w:hAnsi="Arial" w:cs="Arial"/>
          <w:bCs/>
          <w:kern w:val="28"/>
        </w:rPr>
        <w:t>du 25 mars 2022 relatif à la procédure de médiation préalable obligatoire applicable à certains litiges de la fonction publique et à certains litiges sociaux</w:t>
      </w:r>
      <w:r w:rsidRPr="00111DE8">
        <w:rPr>
          <w:rFonts w:ascii="Arial" w:hAnsi="Arial" w:cs="Arial"/>
          <w:bCs/>
          <w:kern w:val="28"/>
        </w:rPr>
        <w:t>,</w:t>
      </w:r>
    </w:p>
    <w:p w14:paraId="78026788" w14:textId="08E214FD" w:rsidR="00111DE8" w:rsidRPr="00111DE8" w:rsidRDefault="00111DE8" w:rsidP="00111DE8">
      <w:pPr>
        <w:pStyle w:val="Sansinterligne"/>
        <w:spacing w:before="120" w:line="276" w:lineRule="auto"/>
        <w:rPr>
          <w:rFonts w:ascii="Arial" w:hAnsi="Arial" w:cs="Arial"/>
          <w:kern w:val="28"/>
        </w:rPr>
      </w:pPr>
      <w:r w:rsidRPr="00111DE8">
        <w:rPr>
          <w:rFonts w:ascii="Arial" w:hAnsi="Arial" w:cs="Arial"/>
          <w:b/>
          <w:bCs/>
          <w:kern w:val="28"/>
        </w:rPr>
        <w:t xml:space="preserve">Considérant </w:t>
      </w:r>
      <w:r w:rsidRPr="00111DE8">
        <w:rPr>
          <w:rFonts w:ascii="Arial" w:hAnsi="Arial" w:cs="Arial"/>
          <w:kern w:val="28"/>
        </w:rPr>
        <w:t>l’intérêt pour la collectivité d’adhérer à cette mission au regard de l’objet et des modalités proposées,</w:t>
      </w:r>
    </w:p>
    <w:p w14:paraId="0F0CBF13" w14:textId="77777777" w:rsidR="000446A7" w:rsidRPr="002B49EC" w:rsidRDefault="000446A7" w:rsidP="003B7491">
      <w:pPr>
        <w:pStyle w:val="Sansinterligne"/>
        <w:tabs>
          <w:tab w:val="left" w:leader="dot" w:pos="4962"/>
        </w:tabs>
        <w:spacing w:before="120" w:line="276" w:lineRule="auto"/>
        <w:rPr>
          <w:rFonts w:ascii="Arial" w:hAnsi="Arial" w:cs="Arial"/>
          <w:kern w:val="28"/>
        </w:rPr>
      </w:pPr>
    </w:p>
    <w:p w14:paraId="7252FB5E" w14:textId="0E1E6280" w:rsidR="002C20B0" w:rsidRPr="002B49EC" w:rsidRDefault="002C20B0" w:rsidP="003B7491">
      <w:pPr>
        <w:pStyle w:val="Sansinterligne"/>
        <w:tabs>
          <w:tab w:val="left" w:leader="dot" w:pos="4962"/>
        </w:tabs>
        <w:spacing w:before="120" w:line="276" w:lineRule="auto"/>
        <w:rPr>
          <w:rFonts w:ascii="Arial" w:hAnsi="Arial" w:cs="Arial"/>
          <w:kern w:val="28"/>
        </w:rPr>
      </w:pPr>
      <w:r w:rsidRPr="002B49EC">
        <w:rPr>
          <w:rFonts w:ascii="Arial" w:hAnsi="Arial" w:cs="Arial"/>
          <w:b/>
          <w:kern w:val="28"/>
        </w:rPr>
        <w:t>DECIDE</w:t>
      </w:r>
      <w:r w:rsidRPr="002B49EC">
        <w:rPr>
          <w:rFonts w:ascii="Arial" w:hAnsi="Arial" w:cs="Arial"/>
          <w:kern w:val="28"/>
        </w:rPr>
        <w:t xml:space="preserve"> d’adhérer à </w:t>
      </w:r>
      <w:r w:rsidR="000446A7">
        <w:rPr>
          <w:rFonts w:ascii="Arial" w:hAnsi="Arial" w:cs="Arial"/>
          <w:kern w:val="28"/>
        </w:rPr>
        <w:t>la mission</w:t>
      </w:r>
      <w:r w:rsidRPr="002B49EC">
        <w:rPr>
          <w:rFonts w:ascii="Arial" w:hAnsi="Arial" w:cs="Arial"/>
          <w:kern w:val="28"/>
        </w:rPr>
        <w:t xml:space="preserve"> de médiation préalable obligatoire pour les litiges concernés, </w:t>
      </w:r>
      <w:r w:rsidR="000446A7">
        <w:rPr>
          <w:rFonts w:ascii="Arial" w:hAnsi="Arial" w:cs="Arial"/>
          <w:kern w:val="28"/>
        </w:rPr>
        <w:t>proposée par le Centre de Gestion de la fonction publique</w:t>
      </w:r>
      <w:r w:rsidRPr="002B49EC">
        <w:rPr>
          <w:rFonts w:ascii="Arial" w:hAnsi="Arial" w:cs="Arial"/>
          <w:kern w:val="28"/>
        </w:rPr>
        <w:t>.</w:t>
      </w:r>
    </w:p>
    <w:p w14:paraId="74823217" w14:textId="30AD283E" w:rsidR="002C20B0" w:rsidRDefault="002C20B0" w:rsidP="003B7491">
      <w:pPr>
        <w:pStyle w:val="Sansinterligne"/>
        <w:tabs>
          <w:tab w:val="left" w:leader="dot" w:pos="4962"/>
        </w:tabs>
        <w:spacing w:before="120" w:line="276" w:lineRule="auto"/>
        <w:rPr>
          <w:rFonts w:ascii="Arial" w:hAnsi="Arial" w:cs="Arial"/>
          <w:kern w:val="28"/>
        </w:rPr>
      </w:pPr>
      <w:r w:rsidRPr="002B49EC">
        <w:rPr>
          <w:rFonts w:ascii="Arial" w:hAnsi="Arial" w:cs="Arial"/>
          <w:b/>
          <w:kern w:val="28"/>
        </w:rPr>
        <w:t>APPROUVE</w:t>
      </w:r>
      <w:r w:rsidRPr="002B49EC">
        <w:rPr>
          <w:rFonts w:ascii="Arial" w:hAnsi="Arial" w:cs="Arial"/>
          <w:kern w:val="28"/>
        </w:rPr>
        <w:t xml:space="preserve"> la convention</w:t>
      </w:r>
      <w:r w:rsidR="003C0FD6">
        <w:rPr>
          <w:rFonts w:ascii="Arial" w:hAnsi="Arial" w:cs="Arial"/>
          <w:kern w:val="28"/>
        </w:rPr>
        <w:t xml:space="preserve"> (en annexe)</w:t>
      </w:r>
      <w:r w:rsidRPr="002B49EC">
        <w:rPr>
          <w:rFonts w:ascii="Arial" w:hAnsi="Arial" w:cs="Arial"/>
          <w:kern w:val="28"/>
        </w:rPr>
        <w:t xml:space="preserve"> à conclure avec le </w:t>
      </w:r>
      <w:r w:rsidR="003B7491">
        <w:rPr>
          <w:rFonts w:ascii="Arial" w:hAnsi="Arial" w:cs="Arial"/>
          <w:kern w:val="28"/>
        </w:rPr>
        <w:t>Centre de Gestion de la Charente-Maritime</w:t>
      </w:r>
      <w:r w:rsidR="00CA2E6E" w:rsidRPr="002B49EC">
        <w:rPr>
          <w:rFonts w:ascii="Arial" w:hAnsi="Arial" w:cs="Arial"/>
          <w:kern w:val="28"/>
        </w:rPr>
        <w:t xml:space="preserve">, qui concernera les litiges portant sur des décisions </w:t>
      </w:r>
      <w:r w:rsidR="003C0FD6">
        <w:rPr>
          <w:rFonts w:ascii="Arial" w:hAnsi="Arial" w:cs="Arial"/>
          <w:kern w:val="28"/>
        </w:rPr>
        <w:t>prises, à compter du 1</w:t>
      </w:r>
      <w:r w:rsidR="003C0FD6" w:rsidRPr="003C0FD6">
        <w:rPr>
          <w:rFonts w:ascii="Arial" w:hAnsi="Arial" w:cs="Arial"/>
          <w:kern w:val="28"/>
          <w:vertAlign w:val="superscript"/>
        </w:rPr>
        <w:t>er</w:t>
      </w:r>
      <w:r w:rsidR="003C0FD6">
        <w:rPr>
          <w:rFonts w:ascii="Arial" w:hAnsi="Arial" w:cs="Arial"/>
          <w:kern w:val="28"/>
        </w:rPr>
        <w:t xml:space="preserve"> jour du mois suivant la conclusion de la convention.</w:t>
      </w:r>
    </w:p>
    <w:p w14:paraId="41C8A0C1" w14:textId="46734A2F" w:rsidR="00215CD1" w:rsidRPr="002B49EC" w:rsidRDefault="00215CD1" w:rsidP="003B7491">
      <w:pPr>
        <w:pStyle w:val="Sansinterligne"/>
        <w:tabs>
          <w:tab w:val="left" w:leader="dot" w:pos="4962"/>
        </w:tabs>
        <w:spacing w:before="120" w:line="276" w:lineRule="auto"/>
        <w:rPr>
          <w:rFonts w:ascii="Arial" w:hAnsi="Arial" w:cs="Arial"/>
          <w:kern w:val="28"/>
        </w:rPr>
      </w:pPr>
      <w:r w:rsidRPr="002B49EC">
        <w:rPr>
          <w:rFonts w:ascii="Arial" w:hAnsi="Arial" w:cs="Arial"/>
          <w:b/>
          <w:kern w:val="28"/>
        </w:rPr>
        <w:t>AUTORISE</w:t>
      </w:r>
      <w:r w:rsidR="002B49EC">
        <w:rPr>
          <w:rFonts w:ascii="Arial" w:hAnsi="Arial" w:cs="Arial"/>
          <w:kern w:val="28"/>
        </w:rPr>
        <w:t xml:space="preserve"> Madame/Monsieur le Maire/P</w:t>
      </w:r>
      <w:r w:rsidRPr="002B49EC">
        <w:rPr>
          <w:rFonts w:ascii="Arial" w:hAnsi="Arial" w:cs="Arial"/>
          <w:kern w:val="28"/>
        </w:rPr>
        <w:t xml:space="preserve">résident à signer cette convention ainsi que toutes </w:t>
      </w:r>
      <w:r w:rsidR="002B49EC">
        <w:rPr>
          <w:rFonts w:ascii="Arial" w:hAnsi="Arial" w:cs="Arial"/>
          <w:kern w:val="28"/>
        </w:rPr>
        <w:t xml:space="preserve">les </w:t>
      </w:r>
      <w:r w:rsidRPr="002B49EC">
        <w:rPr>
          <w:rFonts w:ascii="Arial" w:hAnsi="Arial" w:cs="Arial"/>
          <w:kern w:val="28"/>
        </w:rPr>
        <w:t xml:space="preserve">pièces et documents nécessaires à la mise en œuvre de cette </w:t>
      </w:r>
      <w:r w:rsidR="003C0FD6">
        <w:rPr>
          <w:rFonts w:ascii="Arial" w:hAnsi="Arial" w:cs="Arial"/>
          <w:kern w:val="28"/>
        </w:rPr>
        <w:t>mission</w:t>
      </w:r>
      <w:r w:rsidRPr="002B49EC">
        <w:rPr>
          <w:rFonts w:ascii="Arial" w:hAnsi="Arial" w:cs="Arial"/>
          <w:kern w:val="28"/>
        </w:rPr>
        <w:t>.</w:t>
      </w:r>
    </w:p>
    <w:sectPr w:rsidR="00215CD1" w:rsidRPr="002B49EC" w:rsidSect="00B86C1F">
      <w:pgSz w:w="11906" w:h="16838"/>
      <w:pgMar w:top="851"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7B9FC" w14:textId="77777777" w:rsidR="00E41280" w:rsidRDefault="00E41280" w:rsidP="00D74E89">
      <w:pPr>
        <w:spacing w:after="0" w:line="240" w:lineRule="auto"/>
      </w:pPr>
      <w:r>
        <w:separator/>
      </w:r>
    </w:p>
  </w:endnote>
  <w:endnote w:type="continuationSeparator" w:id="0">
    <w:p w14:paraId="56DE4EEB" w14:textId="77777777" w:rsidR="00E41280" w:rsidRDefault="00E41280" w:rsidP="00D74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3CF7A4" w14:textId="77777777" w:rsidR="00E41280" w:rsidRDefault="00E41280" w:rsidP="00D74E89">
      <w:pPr>
        <w:spacing w:after="0" w:line="240" w:lineRule="auto"/>
      </w:pPr>
      <w:r>
        <w:separator/>
      </w:r>
    </w:p>
  </w:footnote>
  <w:footnote w:type="continuationSeparator" w:id="0">
    <w:p w14:paraId="2C3F6386" w14:textId="77777777" w:rsidR="00E41280" w:rsidRDefault="00E41280" w:rsidP="00D74E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10CFE"/>
    <w:multiLevelType w:val="hybridMultilevel"/>
    <w:tmpl w:val="32569E0C"/>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139B6224"/>
    <w:multiLevelType w:val="hybridMultilevel"/>
    <w:tmpl w:val="BFEAEE02"/>
    <w:lvl w:ilvl="0" w:tplc="CC2E8DAE">
      <w:start w:val="3"/>
      <w:numFmt w:val="bullet"/>
      <w:lvlText w:val="-"/>
      <w:lvlJc w:val="left"/>
      <w:pPr>
        <w:ind w:left="720" w:hanging="360"/>
      </w:pPr>
      <w:rPr>
        <w:rFonts w:ascii="Tahoma" w:eastAsiaTheme="minorHAnsi"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1EF34C3"/>
    <w:multiLevelType w:val="hybridMultilevel"/>
    <w:tmpl w:val="4886A29C"/>
    <w:lvl w:ilvl="0" w:tplc="040C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74220CE7"/>
    <w:multiLevelType w:val="hybridMultilevel"/>
    <w:tmpl w:val="E4E854F0"/>
    <w:lvl w:ilvl="0" w:tplc="F0D6FA8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66672495">
    <w:abstractNumId w:val="1"/>
  </w:num>
  <w:num w:numId="2" w16cid:durableId="785853620">
    <w:abstractNumId w:val="3"/>
  </w:num>
  <w:num w:numId="3" w16cid:durableId="991058457">
    <w:abstractNumId w:val="0"/>
  </w:num>
  <w:num w:numId="4" w16cid:durableId="20376103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4E89"/>
    <w:rsid w:val="000446A7"/>
    <w:rsid w:val="000C22D7"/>
    <w:rsid w:val="000E2730"/>
    <w:rsid w:val="001114EE"/>
    <w:rsid w:val="00111DE8"/>
    <w:rsid w:val="0013393A"/>
    <w:rsid w:val="001F457A"/>
    <w:rsid w:val="00200DBB"/>
    <w:rsid w:val="00215CD1"/>
    <w:rsid w:val="00292DD6"/>
    <w:rsid w:val="002B49EC"/>
    <w:rsid w:val="002C20B0"/>
    <w:rsid w:val="0030795A"/>
    <w:rsid w:val="00322133"/>
    <w:rsid w:val="003608A5"/>
    <w:rsid w:val="003B7491"/>
    <w:rsid w:val="003C0FD6"/>
    <w:rsid w:val="003F2E2B"/>
    <w:rsid w:val="004466CB"/>
    <w:rsid w:val="00460FA7"/>
    <w:rsid w:val="005769E6"/>
    <w:rsid w:val="005843B9"/>
    <w:rsid w:val="005E0D22"/>
    <w:rsid w:val="00630075"/>
    <w:rsid w:val="006506D8"/>
    <w:rsid w:val="006B53DA"/>
    <w:rsid w:val="00782A45"/>
    <w:rsid w:val="00787373"/>
    <w:rsid w:val="00801628"/>
    <w:rsid w:val="00883EA1"/>
    <w:rsid w:val="008D0E57"/>
    <w:rsid w:val="008E5821"/>
    <w:rsid w:val="008F1979"/>
    <w:rsid w:val="009C5AE6"/>
    <w:rsid w:val="00A317F8"/>
    <w:rsid w:val="00B86C1F"/>
    <w:rsid w:val="00B906C2"/>
    <w:rsid w:val="00BF4E59"/>
    <w:rsid w:val="00C4097A"/>
    <w:rsid w:val="00C504B6"/>
    <w:rsid w:val="00C771FE"/>
    <w:rsid w:val="00CA210B"/>
    <w:rsid w:val="00CA2E6E"/>
    <w:rsid w:val="00D74E89"/>
    <w:rsid w:val="00DA3669"/>
    <w:rsid w:val="00DB79F6"/>
    <w:rsid w:val="00DD4383"/>
    <w:rsid w:val="00E06286"/>
    <w:rsid w:val="00E41280"/>
    <w:rsid w:val="00E545AC"/>
    <w:rsid w:val="00E84D2F"/>
    <w:rsid w:val="00E94497"/>
    <w:rsid w:val="00EA4F0C"/>
    <w:rsid w:val="00EC4211"/>
    <w:rsid w:val="00ED357C"/>
    <w:rsid w:val="00F1268F"/>
    <w:rsid w:val="00F42B1D"/>
    <w:rsid w:val="00F76B54"/>
    <w:rsid w:val="00FF58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B6ED2"/>
  <w15:docId w15:val="{16951FAA-67A4-4B15-93E3-C37970DB3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393A"/>
  </w:style>
  <w:style w:type="paragraph" w:styleId="Titre1">
    <w:name w:val="heading 1"/>
    <w:basedOn w:val="Normal"/>
    <w:next w:val="Normal"/>
    <w:link w:val="Titre1Car"/>
    <w:uiPriority w:val="9"/>
    <w:qFormat/>
    <w:rsid w:val="00111DE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itre2">
    <w:name w:val="heading 2"/>
    <w:basedOn w:val="Normal"/>
    <w:next w:val="Normal"/>
    <w:link w:val="Titre2Car"/>
    <w:qFormat/>
    <w:rsid w:val="002B49EC"/>
    <w:pPr>
      <w:keepNext/>
      <w:widowControl w:val="0"/>
      <w:shd w:val="clear" w:color="auto" w:fill="FFFFFF"/>
      <w:spacing w:before="533" w:after="0" w:line="240" w:lineRule="auto"/>
      <w:ind w:left="2268" w:firstLine="567"/>
      <w:outlineLvl w:val="1"/>
    </w:pPr>
    <w:rPr>
      <w:rFonts w:ascii="Times New Roman" w:eastAsia="Times New Roman" w:hAnsi="Times New Roman" w:cs="Times New Roman"/>
      <w:b/>
      <w:snapToGrid w:val="0"/>
      <w:color w:val="000000"/>
      <w:spacing w:val="-13"/>
      <w:sz w:val="3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74E89"/>
    <w:pPr>
      <w:spacing w:after="0" w:line="240" w:lineRule="auto"/>
      <w:jc w:val="both"/>
    </w:pPr>
  </w:style>
  <w:style w:type="paragraph" w:styleId="En-tte">
    <w:name w:val="header"/>
    <w:basedOn w:val="Normal"/>
    <w:link w:val="En-tteCar"/>
    <w:unhideWhenUsed/>
    <w:rsid w:val="00D74E89"/>
    <w:pPr>
      <w:tabs>
        <w:tab w:val="center" w:pos="4536"/>
        <w:tab w:val="right" w:pos="9072"/>
      </w:tabs>
      <w:spacing w:after="0" w:line="240" w:lineRule="auto"/>
    </w:pPr>
  </w:style>
  <w:style w:type="character" w:customStyle="1" w:styleId="En-tteCar">
    <w:name w:val="En-tête Car"/>
    <w:basedOn w:val="Policepardfaut"/>
    <w:link w:val="En-tte"/>
    <w:rsid w:val="00D74E89"/>
  </w:style>
  <w:style w:type="paragraph" w:styleId="Pieddepage">
    <w:name w:val="footer"/>
    <w:basedOn w:val="Normal"/>
    <w:link w:val="PieddepageCar"/>
    <w:unhideWhenUsed/>
    <w:rsid w:val="00D74E8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74E89"/>
  </w:style>
  <w:style w:type="character" w:styleId="Lienhypertexte">
    <w:name w:val="Hyperlink"/>
    <w:basedOn w:val="Policepardfaut"/>
    <w:uiPriority w:val="99"/>
    <w:unhideWhenUsed/>
    <w:rsid w:val="005769E6"/>
    <w:rPr>
      <w:color w:val="0000FF" w:themeColor="hyperlink"/>
      <w:u w:val="single"/>
    </w:rPr>
  </w:style>
  <w:style w:type="paragraph" w:styleId="Textedebulles">
    <w:name w:val="Balloon Text"/>
    <w:basedOn w:val="Normal"/>
    <w:link w:val="TextedebullesCar"/>
    <w:uiPriority w:val="99"/>
    <w:semiHidden/>
    <w:unhideWhenUsed/>
    <w:rsid w:val="005E0D2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5E0D22"/>
    <w:rPr>
      <w:rFonts w:ascii="Segoe UI" w:hAnsi="Segoe UI" w:cs="Segoe UI"/>
      <w:sz w:val="18"/>
      <w:szCs w:val="18"/>
    </w:rPr>
  </w:style>
  <w:style w:type="paragraph" w:styleId="Notedebasdepage">
    <w:name w:val="footnote text"/>
    <w:basedOn w:val="Normal"/>
    <w:link w:val="NotedebasdepageCar"/>
    <w:uiPriority w:val="99"/>
    <w:semiHidden/>
    <w:unhideWhenUsed/>
    <w:rsid w:val="005E0D22"/>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5E0D22"/>
    <w:rPr>
      <w:sz w:val="20"/>
      <w:szCs w:val="20"/>
    </w:rPr>
  </w:style>
  <w:style w:type="character" w:styleId="Appelnotedebasdep">
    <w:name w:val="footnote reference"/>
    <w:basedOn w:val="Policepardfaut"/>
    <w:uiPriority w:val="99"/>
    <w:semiHidden/>
    <w:unhideWhenUsed/>
    <w:rsid w:val="005E0D22"/>
    <w:rPr>
      <w:vertAlign w:val="superscript"/>
    </w:rPr>
  </w:style>
  <w:style w:type="character" w:customStyle="1" w:styleId="Titre2Car">
    <w:name w:val="Titre 2 Car"/>
    <w:basedOn w:val="Policepardfaut"/>
    <w:link w:val="Titre2"/>
    <w:rsid w:val="002B49EC"/>
    <w:rPr>
      <w:rFonts w:ascii="Times New Roman" w:eastAsia="Times New Roman" w:hAnsi="Times New Roman" w:cs="Times New Roman"/>
      <w:b/>
      <w:snapToGrid w:val="0"/>
      <w:color w:val="000000"/>
      <w:spacing w:val="-13"/>
      <w:sz w:val="32"/>
      <w:szCs w:val="20"/>
      <w:shd w:val="clear" w:color="auto" w:fill="FFFFFF"/>
      <w:lang w:eastAsia="fr-FR"/>
    </w:rPr>
  </w:style>
  <w:style w:type="paragraph" w:customStyle="1" w:styleId="Paragraphestandard">
    <w:name w:val="[Paragraphe standard]"/>
    <w:basedOn w:val="Normal"/>
    <w:uiPriority w:val="99"/>
    <w:rsid w:val="00630075"/>
    <w:pPr>
      <w:widowControl w:val="0"/>
      <w:autoSpaceDE w:val="0"/>
      <w:autoSpaceDN w:val="0"/>
      <w:adjustRightInd w:val="0"/>
      <w:spacing w:after="0" w:line="288" w:lineRule="auto"/>
      <w:textAlignment w:val="center"/>
    </w:pPr>
    <w:rPr>
      <w:rFonts w:ascii="MinionPro-Regular" w:eastAsiaTheme="minorEastAsia" w:hAnsi="MinionPro-Regular" w:cs="MinionPro-Regular"/>
      <w:color w:val="000000"/>
      <w:sz w:val="24"/>
      <w:szCs w:val="24"/>
      <w:lang w:eastAsia="fr-FR"/>
    </w:rPr>
  </w:style>
  <w:style w:type="paragraph" w:styleId="Paragraphedeliste">
    <w:name w:val="List Paragraph"/>
    <w:basedOn w:val="Normal"/>
    <w:uiPriority w:val="34"/>
    <w:qFormat/>
    <w:rsid w:val="008E5821"/>
    <w:pPr>
      <w:ind w:left="720"/>
      <w:contextualSpacing/>
    </w:pPr>
  </w:style>
  <w:style w:type="character" w:customStyle="1" w:styleId="Titre1Car">
    <w:name w:val="Titre 1 Car"/>
    <w:basedOn w:val="Policepardfaut"/>
    <w:link w:val="Titre1"/>
    <w:uiPriority w:val="9"/>
    <w:rsid w:val="00111DE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880194">
      <w:bodyDiv w:val="1"/>
      <w:marLeft w:val="0"/>
      <w:marRight w:val="0"/>
      <w:marTop w:val="0"/>
      <w:marBottom w:val="0"/>
      <w:divBdr>
        <w:top w:val="none" w:sz="0" w:space="0" w:color="auto"/>
        <w:left w:val="none" w:sz="0" w:space="0" w:color="auto"/>
        <w:bottom w:val="none" w:sz="0" w:space="0" w:color="auto"/>
        <w:right w:val="none" w:sz="0" w:space="0" w:color="auto"/>
      </w:divBdr>
    </w:div>
    <w:div w:id="2067142546">
      <w:bodyDiv w:val="1"/>
      <w:marLeft w:val="0"/>
      <w:marRight w:val="0"/>
      <w:marTop w:val="0"/>
      <w:marBottom w:val="0"/>
      <w:divBdr>
        <w:top w:val="none" w:sz="0" w:space="0" w:color="auto"/>
        <w:left w:val="none" w:sz="0" w:space="0" w:color="auto"/>
        <w:bottom w:val="none" w:sz="0" w:space="0" w:color="auto"/>
        <w:right w:val="none" w:sz="0" w:space="0" w:color="auto"/>
      </w:divBdr>
    </w:div>
    <w:div w:id="2101676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99DF22-FBF1-414D-BDB7-2725AFAE26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2</Pages>
  <Words>834</Words>
  <Characters>4593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clla</dc:creator>
  <cp:keywords/>
  <dc:description/>
  <cp:lastModifiedBy>Christelle MAYEUR</cp:lastModifiedBy>
  <cp:revision>5</cp:revision>
  <cp:lastPrinted>2018-05-04T16:27:00Z</cp:lastPrinted>
  <dcterms:created xsi:type="dcterms:W3CDTF">2022-05-11T09:39:00Z</dcterms:created>
  <dcterms:modified xsi:type="dcterms:W3CDTF">2022-05-11T10:52:00Z</dcterms:modified>
</cp:coreProperties>
</file>